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6CDF" w14:textId="77777777" w:rsidR="003D75F0" w:rsidRPr="003D75F0" w:rsidRDefault="007513B9" w:rsidP="003D75F0">
      <w:r>
        <w:pict w14:anchorId="6674AC0A">
          <v:rect id="_x0000_i1025" style="width:0;height:1.5pt" o:hralign="center" o:hrstd="t" o:hr="t" fillcolor="#a0a0a0" stroked="f"/>
        </w:pict>
      </w:r>
    </w:p>
    <w:p w14:paraId="26C07191" w14:textId="0E837188" w:rsidR="003D75F0" w:rsidRPr="003D75F0" w:rsidRDefault="008D2D1A" w:rsidP="003D75F0">
      <w:pPr>
        <w:rPr>
          <w:b/>
          <w:bCs/>
        </w:rPr>
      </w:pPr>
      <w:r>
        <w:rPr>
          <w:b/>
          <w:bCs/>
        </w:rPr>
        <w:t xml:space="preserve">B4 - </w:t>
      </w:r>
      <w:r w:rsidR="003D75F0" w:rsidRPr="003D75F0">
        <w:rPr>
          <w:b/>
          <w:bCs/>
        </w:rPr>
        <w:t>Supporting Children with Special Educational Needs and Disabilities (SEND)</w:t>
      </w:r>
    </w:p>
    <w:p w14:paraId="3FD19740" w14:textId="77777777" w:rsidR="003D75F0" w:rsidRPr="003D75F0" w:rsidRDefault="003D75F0" w:rsidP="003D75F0">
      <w:pPr>
        <w:rPr>
          <w:b/>
          <w:bCs/>
        </w:rPr>
      </w:pPr>
      <w:r w:rsidRPr="003D75F0">
        <w:rPr>
          <w:b/>
          <w:bCs/>
        </w:rPr>
        <w:t>Policy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5"/>
        <w:gridCol w:w="6811"/>
      </w:tblGrid>
      <w:tr w:rsidR="003D75F0" w:rsidRPr="003D75F0" w14:paraId="67699766" w14:textId="77777777" w:rsidTr="00D616F3">
        <w:trPr>
          <w:tblHeader/>
          <w:tblCellSpacing w:w="15" w:type="dxa"/>
        </w:trPr>
        <w:tc>
          <w:tcPr>
            <w:tcW w:w="0" w:type="auto"/>
            <w:vAlign w:val="center"/>
            <w:hideMark/>
          </w:tcPr>
          <w:p w14:paraId="66A44857" w14:textId="77777777" w:rsidR="003D75F0" w:rsidRPr="003D75F0" w:rsidRDefault="003D75F0" w:rsidP="003D75F0">
            <w:pPr>
              <w:rPr>
                <w:b/>
                <w:bCs/>
              </w:rPr>
            </w:pPr>
            <w:r w:rsidRPr="003D75F0">
              <w:rPr>
                <w:b/>
                <w:bCs/>
              </w:rPr>
              <w:t>Policy Title</w:t>
            </w:r>
          </w:p>
        </w:tc>
        <w:tc>
          <w:tcPr>
            <w:tcW w:w="0" w:type="auto"/>
            <w:vAlign w:val="center"/>
            <w:hideMark/>
          </w:tcPr>
          <w:p w14:paraId="4778267E" w14:textId="77777777" w:rsidR="003D75F0" w:rsidRPr="003D75F0" w:rsidRDefault="003D75F0" w:rsidP="003D75F0">
            <w:pPr>
              <w:rPr>
                <w:b/>
                <w:bCs/>
              </w:rPr>
            </w:pPr>
            <w:r w:rsidRPr="003D75F0">
              <w:rPr>
                <w:b/>
                <w:bCs/>
              </w:rPr>
              <w:t>09.2 Supporting Children with Special Educational Needs and Disabilities (SEND)</w:t>
            </w:r>
          </w:p>
        </w:tc>
      </w:tr>
      <w:tr w:rsidR="003D75F0" w:rsidRPr="003D75F0" w14:paraId="760038F9" w14:textId="77777777" w:rsidTr="00D616F3">
        <w:trPr>
          <w:tblCellSpacing w:w="15" w:type="dxa"/>
        </w:trPr>
        <w:tc>
          <w:tcPr>
            <w:tcW w:w="0" w:type="auto"/>
            <w:vAlign w:val="center"/>
            <w:hideMark/>
          </w:tcPr>
          <w:p w14:paraId="58E205E9" w14:textId="77777777" w:rsidR="003D75F0" w:rsidRPr="003D75F0" w:rsidRDefault="003D75F0" w:rsidP="003D75F0">
            <w:r w:rsidRPr="003D75F0">
              <w:rPr>
                <w:b/>
                <w:bCs/>
              </w:rPr>
              <w:t>Setting</w:t>
            </w:r>
          </w:p>
        </w:tc>
        <w:tc>
          <w:tcPr>
            <w:tcW w:w="0" w:type="auto"/>
            <w:vAlign w:val="center"/>
            <w:hideMark/>
          </w:tcPr>
          <w:p w14:paraId="72099E06" w14:textId="77777777" w:rsidR="003D75F0" w:rsidRPr="003D75F0" w:rsidRDefault="003D75F0" w:rsidP="003D75F0">
            <w:proofErr w:type="spellStart"/>
            <w:r w:rsidRPr="003D75F0">
              <w:t>Helmdon</w:t>
            </w:r>
            <w:proofErr w:type="spellEnd"/>
            <w:r w:rsidRPr="003D75F0">
              <w:t xml:space="preserve"> Acorns Pre</w:t>
            </w:r>
            <w:r w:rsidRPr="003D75F0">
              <w:noBreakHyphen/>
              <w:t>School</w:t>
            </w:r>
          </w:p>
        </w:tc>
      </w:tr>
      <w:tr w:rsidR="003D75F0" w:rsidRPr="003D75F0" w14:paraId="166F04DF" w14:textId="77777777" w:rsidTr="00D616F3">
        <w:trPr>
          <w:tblCellSpacing w:w="15" w:type="dxa"/>
        </w:trPr>
        <w:tc>
          <w:tcPr>
            <w:tcW w:w="0" w:type="auto"/>
            <w:vAlign w:val="center"/>
            <w:hideMark/>
          </w:tcPr>
          <w:p w14:paraId="01969EC6" w14:textId="77777777" w:rsidR="003D75F0" w:rsidRPr="003D75F0" w:rsidRDefault="003D75F0" w:rsidP="003D75F0">
            <w:r w:rsidRPr="003D75F0">
              <w:rPr>
                <w:b/>
                <w:bCs/>
              </w:rPr>
              <w:t>Adopted by Committee</w:t>
            </w:r>
          </w:p>
        </w:tc>
        <w:tc>
          <w:tcPr>
            <w:tcW w:w="0" w:type="auto"/>
            <w:vAlign w:val="center"/>
            <w:hideMark/>
          </w:tcPr>
          <w:p w14:paraId="0A55BE37" w14:textId="77777777" w:rsidR="003D75F0" w:rsidRPr="003D75F0" w:rsidRDefault="003D75F0" w:rsidP="003D75F0">
            <w:r w:rsidRPr="003D75F0">
              <w:t>31 January 2026</w:t>
            </w:r>
          </w:p>
        </w:tc>
      </w:tr>
      <w:tr w:rsidR="003D75F0" w:rsidRPr="003D75F0" w14:paraId="56AF0B5C" w14:textId="77777777" w:rsidTr="00D616F3">
        <w:trPr>
          <w:tblCellSpacing w:w="15" w:type="dxa"/>
        </w:trPr>
        <w:tc>
          <w:tcPr>
            <w:tcW w:w="0" w:type="auto"/>
            <w:vAlign w:val="center"/>
            <w:hideMark/>
          </w:tcPr>
          <w:p w14:paraId="3C1AA987" w14:textId="77777777" w:rsidR="003D75F0" w:rsidRPr="003D75F0" w:rsidRDefault="003D75F0" w:rsidP="003D75F0">
            <w:r w:rsidRPr="003D75F0">
              <w:rPr>
                <w:b/>
                <w:bCs/>
              </w:rPr>
              <w:t>Lead</w:t>
            </w:r>
          </w:p>
        </w:tc>
        <w:tc>
          <w:tcPr>
            <w:tcW w:w="0" w:type="auto"/>
            <w:vAlign w:val="center"/>
            <w:hideMark/>
          </w:tcPr>
          <w:p w14:paraId="65E67F50" w14:textId="77777777" w:rsidR="003D75F0" w:rsidRPr="003D75F0" w:rsidRDefault="003D75F0" w:rsidP="003D75F0">
            <w:r w:rsidRPr="003D75F0">
              <w:t>Kim Sadler (Manager/SENCO)</w:t>
            </w:r>
          </w:p>
        </w:tc>
      </w:tr>
      <w:tr w:rsidR="003D75F0" w:rsidRPr="003D75F0" w14:paraId="08AE945C" w14:textId="77777777" w:rsidTr="00D616F3">
        <w:trPr>
          <w:tblCellSpacing w:w="15" w:type="dxa"/>
        </w:trPr>
        <w:tc>
          <w:tcPr>
            <w:tcW w:w="0" w:type="auto"/>
            <w:vAlign w:val="center"/>
            <w:hideMark/>
          </w:tcPr>
          <w:p w14:paraId="1453A676" w14:textId="77777777" w:rsidR="003D75F0" w:rsidRPr="003D75F0" w:rsidRDefault="003D75F0" w:rsidP="003D75F0">
            <w:r w:rsidRPr="003D75F0">
              <w:rPr>
                <w:b/>
                <w:bCs/>
              </w:rPr>
              <w:t>Next Review Date</w:t>
            </w:r>
          </w:p>
        </w:tc>
        <w:tc>
          <w:tcPr>
            <w:tcW w:w="0" w:type="auto"/>
            <w:vAlign w:val="center"/>
            <w:hideMark/>
          </w:tcPr>
          <w:p w14:paraId="6825AEC4" w14:textId="77777777" w:rsidR="003D75F0" w:rsidRPr="003D75F0" w:rsidRDefault="003D75F0" w:rsidP="003D75F0">
            <w:r w:rsidRPr="003D75F0">
              <w:t>January 2027</w:t>
            </w:r>
          </w:p>
        </w:tc>
      </w:tr>
    </w:tbl>
    <w:p w14:paraId="2C7E4A44" w14:textId="77777777" w:rsidR="003D75F0" w:rsidRPr="003D75F0" w:rsidRDefault="007513B9" w:rsidP="003D75F0">
      <w:r>
        <w:pict w14:anchorId="24F8FBC3">
          <v:rect id="_x0000_i1026" style="width:0;height:1.5pt" o:hralign="center" o:hrstd="t" o:hr="t" fillcolor="#a0a0a0" stroked="f"/>
        </w:pict>
      </w:r>
    </w:p>
    <w:p w14:paraId="6A67E803" w14:textId="58477391" w:rsidR="009E0647" w:rsidRPr="008D2D1A" w:rsidRDefault="008D2D1A" w:rsidP="008D2D1A">
      <w:pPr>
        <w:rPr>
          <w:b/>
          <w:bCs/>
        </w:rPr>
      </w:pPr>
      <w:r>
        <w:rPr>
          <w:b/>
          <w:bCs/>
        </w:rPr>
        <w:t xml:space="preserve">1. </w:t>
      </w:r>
      <w:r w:rsidR="003D75F0" w:rsidRPr="008D2D1A">
        <w:rPr>
          <w:b/>
          <w:bCs/>
        </w:rPr>
        <w:t>Policy Statement</w:t>
      </w:r>
    </w:p>
    <w:p w14:paraId="3CDB03CB" w14:textId="21E03360" w:rsidR="003D75F0" w:rsidRPr="003D75F0" w:rsidRDefault="00B23F3B" w:rsidP="003D75F0">
      <w:pPr>
        <w:contextualSpacing/>
      </w:pPr>
      <w:proofErr w:type="spellStart"/>
      <w:r w:rsidRPr="00B23F3B">
        <w:t>Helmdon</w:t>
      </w:r>
      <w:proofErr w:type="spellEnd"/>
      <w:r w:rsidRPr="00B23F3B">
        <w:t xml:space="preserve"> Acorns provides an </w:t>
      </w:r>
      <w:r>
        <w:rPr>
          <w:b/>
          <w:bCs/>
        </w:rPr>
        <w:t>inclusive</w:t>
      </w:r>
      <w:r w:rsidRPr="00B23F3B">
        <w:rPr>
          <w:b/>
          <w:bCs/>
        </w:rPr>
        <w:noBreakHyphen/>
        <w:t>first environment</w:t>
      </w:r>
      <w:r w:rsidRPr="00B23F3B">
        <w:t xml:space="preserve"> where all children with Special Educational Needs and Disabilities (SEND) are supported to reach their full potential. We advocate for early intervention and work in active partnership with West Northamptonshire Council and external agencies to ensure every child thrives.</w:t>
      </w:r>
    </w:p>
    <w:p w14:paraId="392D5970" w14:textId="77777777" w:rsidR="003D75F0" w:rsidRPr="003D75F0" w:rsidRDefault="007513B9" w:rsidP="003D75F0">
      <w:pPr>
        <w:contextualSpacing/>
      </w:pPr>
      <w:r>
        <w:pict w14:anchorId="7EDF328A">
          <v:rect id="_x0000_i1027" style="width:0;height:1.5pt" o:hralign="center" o:hrstd="t" o:hr="t" fillcolor="#a0a0a0" stroked="f"/>
        </w:pict>
      </w:r>
    </w:p>
    <w:p w14:paraId="1BCCFD99" w14:textId="77777777" w:rsidR="003D75F0" w:rsidRDefault="003D75F0" w:rsidP="003D75F0">
      <w:pPr>
        <w:contextualSpacing/>
        <w:rPr>
          <w:b/>
          <w:bCs/>
        </w:rPr>
      </w:pPr>
      <w:r w:rsidRPr="003D75F0">
        <w:rPr>
          <w:b/>
          <w:bCs/>
        </w:rPr>
        <w:t>2. Designated SENCO</w:t>
      </w:r>
    </w:p>
    <w:p w14:paraId="077D713A" w14:textId="77777777" w:rsidR="009E0647" w:rsidRPr="003D75F0" w:rsidRDefault="009E0647" w:rsidP="003D75F0">
      <w:pPr>
        <w:contextualSpacing/>
        <w:rPr>
          <w:b/>
          <w:bCs/>
        </w:rPr>
      </w:pPr>
    </w:p>
    <w:p w14:paraId="31821204" w14:textId="1A96FDA2" w:rsidR="003D75F0" w:rsidRPr="003D75F0" w:rsidRDefault="00D94445" w:rsidP="003D75F0">
      <w:pPr>
        <w:contextualSpacing/>
      </w:pPr>
      <w:r w:rsidRPr="00D94445">
        <w:t xml:space="preserve">The designated Special Educational Needs Co-ordinator (SENCO) is </w:t>
      </w:r>
      <w:r w:rsidRPr="00D94445">
        <w:rPr>
          <w:b/>
          <w:bCs/>
        </w:rPr>
        <w:t>Kim Sadler</w:t>
      </w:r>
      <w:r w:rsidRPr="00D94445">
        <w:t>. As both Manager and SENCO, Kim ensures that SEND provision is embedded throughout the setting. While the SENCO leads the strategy, supporting children with SEND is a shared responsibility across the entire staff team.</w:t>
      </w:r>
      <w:r w:rsidR="007513B9">
        <w:pict w14:anchorId="53A2DC01">
          <v:rect id="_x0000_i1028" style="width:0;height:1.5pt" o:hralign="center" o:hrstd="t" o:hr="t" fillcolor="#a0a0a0" stroked="f"/>
        </w:pict>
      </w:r>
    </w:p>
    <w:p w14:paraId="65F9E9A9" w14:textId="77777777" w:rsidR="003D75F0" w:rsidRDefault="003D75F0" w:rsidP="003D75F0">
      <w:pPr>
        <w:contextualSpacing/>
        <w:rPr>
          <w:b/>
          <w:bCs/>
        </w:rPr>
      </w:pPr>
      <w:r w:rsidRPr="003D75F0">
        <w:rPr>
          <w:b/>
          <w:bCs/>
        </w:rPr>
        <w:t>3. Identification and the “Triple</w:t>
      </w:r>
      <w:r w:rsidRPr="003D75F0">
        <w:rPr>
          <w:b/>
          <w:bCs/>
        </w:rPr>
        <w:noBreakHyphen/>
        <w:t>Layer” Assessment</w:t>
      </w:r>
    </w:p>
    <w:p w14:paraId="2418BCED" w14:textId="77777777" w:rsidR="009E0647" w:rsidRPr="003D75F0" w:rsidRDefault="009E0647" w:rsidP="003D75F0">
      <w:pPr>
        <w:contextualSpacing/>
        <w:rPr>
          <w:b/>
          <w:bCs/>
        </w:rPr>
      </w:pPr>
    </w:p>
    <w:p w14:paraId="3A95F930" w14:textId="77777777" w:rsidR="00E04C7A" w:rsidRPr="00E04C7A" w:rsidRDefault="00E04C7A" w:rsidP="00E04C7A">
      <w:pPr>
        <w:contextualSpacing/>
      </w:pPr>
      <w:r w:rsidRPr="00E04C7A">
        <w:t xml:space="preserve">We follow the </w:t>
      </w:r>
      <w:r w:rsidRPr="00E04C7A">
        <w:rPr>
          <w:b/>
          <w:bCs/>
        </w:rPr>
        <w:t>Graduated Approach</w:t>
      </w:r>
      <w:r w:rsidRPr="00E04C7A">
        <w:t xml:space="preserve"> (Assess, Plan, Do, Review) to identify and support needs early.</w:t>
      </w:r>
    </w:p>
    <w:p w14:paraId="26857E2E" w14:textId="77777777" w:rsidR="00E04C7A" w:rsidRPr="00E04C7A" w:rsidRDefault="00E04C7A" w:rsidP="00E04C7A">
      <w:pPr>
        <w:contextualSpacing/>
      </w:pPr>
      <w:r w:rsidRPr="00E04C7A">
        <w:t>Our robust evidence base consists of:</w:t>
      </w:r>
    </w:p>
    <w:p w14:paraId="6A467915" w14:textId="77777777" w:rsidR="00E04C7A" w:rsidRPr="00E04C7A" w:rsidRDefault="00E04C7A" w:rsidP="00E04C7A">
      <w:pPr>
        <w:numPr>
          <w:ilvl w:val="0"/>
          <w:numId w:val="2"/>
        </w:numPr>
        <w:contextualSpacing/>
      </w:pPr>
      <w:r w:rsidRPr="00E04C7A">
        <w:rPr>
          <w:b/>
          <w:bCs/>
        </w:rPr>
        <w:t>Narrative Observations:</w:t>
      </w:r>
      <w:r w:rsidRPr="00E04C7A">
        <w:t xml:space="preserve"> Regular, high-quality professional observations of the child in play.</w:t>
      </w:r>
    </w:p>
    <w:p w14:paraId="2CA01AAF" w14:textId="77777777" w:rsidR="00E04C7A" w:rsidRPr="00E04C7A" w:rsidRDefault="00E04C7A" w:rsidP="00E04C7A">
      <w:pPr>
        <w:numPr>
          <w:ilvl w:val="0"/>
          <w:numId w:val="2"/>
        </w:numPr>
        <w:contextualSpacing/>
      </w:pPr>
      <w:proofErr w:type="spellStart"/>
      <w:r w:rsidRPr="00E04C7A">
        <w:rPr>
          <w:b/>
          <w:bCs/>
        </w:rPr>
        <w:t>Helmdon</w:t>
      </w:r>
      <w:proofErr w:type="spellEnd"/>
      <w:r w:rsidRPr="00E04C7A">
        <w:rPr>
          <w:b/>
          <w:bCs/>
        </w:rPr>
        <w:t xml:space="preserve"> Acorns Milestones:</w:t>
      </w:r>
      <w:r w:rsidRPr="00E04C7A">
        <w:t xml:space="preserve"> Our internal tracking of small-step progress.</w:t>
      </w:r>
    </w:p>
    <w:p w14:paraId="152C6F50" w14:textId="77777777" w:rsidR="00E04C7A" w:rsidRPr="00E04C7A" w:rsidRDefault="00E04C7A" w:rsidP="00E04C7A">
      <w:pPr>
        <w:numPr>
          <w:ilvl w:val="0"/>
          <w:numId w:val="2"/>
        </w:numPr>
        <w:contextualSpacing/>
      </w:pPr>
      <w:r w:rsidRPr="00E04C7A">
        <w:rPr>
          <w:b/>
          <w:bCs/>
        </w:rPr>
        <w:lastRenderedPageBreak/>
        <w:t>West Northants Development Profile:</w:t>
      </w:r>
      <w:r w:rsidRPr="00E04C7A">
        <w:t xml:space="preserve"> A standardised record used to track needs against local authority benchmarks.</w:t>
      </w:r>
    </w:p>
    <w:p w14:paraId="64B70B54" w14:textId="77777777" w:rsidR="00E04C7A" w:rsidRPr="00E04C7A" w:rsidRDefault="00E04C7A" w:rsidP="00E04C7A">
      <w:pPr>
        <w:numPr>
          <w:ilvl w:val="0"/>
          <w:numId w:val="2"/>
        </w:numPr>
        <w:contextualSpacing/>
      </w:pPr>
      <w:r w:rsidRPr="00E04C7A">
        <w:rPr>
          <w:b/>
          <w:bCs/>
        </w:rPr>
        <w:t>Communication Screening:</w:t>
      </w:r>
      <w:r w:rsidRPr="00E04C7A">
        <w:t xml:space="preserve"> We use the </w:t>
      </w:r>
      <w:r w:rsidRPr="00E04C7A">
        <w:rPr>
          <w:i/>
          <w:iCs/>
        </w:rPr>
        <w:t>Northants Speech and Sound Toolkit</w:t>
      </w:r>
      <w:r w:rsidRPr="00E04C7A">
        <w:t xml:space="preserve"> to identify phonological or communication barriers early.</w:t>
      </w:r>
    </w:p>
    <w:p w14:paraId="0D016C69" w14:textId="77777777" w:rsidR="003D75F0" w:rsidRPr="003D75F0" w:rsidRDefault="007513B9" w:rsidP="003D75F0">
      <w:pPr>
        <w:contextualSpacing/>
      </w:pPr>
      <w:r>
        <w:pict w14:anchorId="29DF0694">
          <v:rect id="_x0000_i1029" style="width:0;height:1.5pt" o:hralign="center" o:hrstd="t" o:hr="t" fillcolor="#a0a0a0" stroked="f"/>
        </w:pict>
      </w:r>
    </w:p>
    <w:p w14:paraId="0AA8B0F2" w14:textId="77777777" w:rsidR="003D75F0" w:rsidRDefault="003D75F0" w:rsidP="003D75F0">
      <w:pPr>
        <w:contextualSpacing/>
        <w:rPr>
          <w:b/>
          <w:bCs/>
        </w:rPr>
      </w:pPr>
      <w:r w:rsidRPr="003D75F0">
        <w:rPr>
          <w:b/>
          <w:bCs/>
        </w:rPr>
        <w:t>4. Planning and Implementation</w:t>
      </w:r>
    </w:p>
    <w:p w14:paraId="38DFA381" w14:textId="77777777" w:rsidR="009E0647" w:rsidRPr="003D75F0" w:rsidRDefault="009E0647" w:rsidP="003D75F0">
      <w:pPr>
        <w:contextualSpacing/>
        <w:rPr>
          <w:b/>
          <w:bCs/>
        </w:rPr>
      </w:pPr>
    </w:p>
    <w:p w14:paraId="2A51E3E5" w14:textId="54723474" w:rsidR="002A5A7B" w:rsidRDefault="002A5A7B" w:rsidP="009E0647">
      <w:pPr>
        <w:pStyle w:val="ListParagraph"/>
        <w:numPr>
          <w:ilvl w:val="0"/>
          <w:numId w:val="5"/>
        </w:numPr>
      </w:pPr>
      <w:r w:rsidRPr="009E0647">
        <w:rPr>
          <w:b/>
          <w:bCs/>
        </w:rPr>
        <w:t>Individual Support Plans (ISPs):</w:t>
      </w:r>
      <w:r w:rsidRPr="002A5A7B">
        <w:t xml:space="preserve"> These are co-produced with parents</w:t>
      </w:r>
      <w:r>
        <w:t xml:space="preserve"> and feature</w:t>
      </w:r>
      <w:r w:rsidRPr="002A5A7B">
        <w:t xml:space="preserve"> SMART (Specific, Measurable, Achievable, Realistic, Time-bound) targets.</w:t>
      </w:r>
    </w:p>
    <w:p w14:paraId="772A8457" w14:textId="65C512E1" w:rsidR="002A5A7B" w:rsidRPr="002A5A7B" w:rsidRDefault="002A5A7B" w:rsidP="009E0647">
      <w:pPr>
        <w:pStyle w:val="ListParagraph"/>
        <w:numPr>
          <w:ilvl w:val="0"/>
          <w:numId w:val="5"/>
        </w:numPr>
      </w:pPr>
      <w:r w:rsidRPr="009E0647">
        <w:rPr>
          <w:b/>
          <w:bCs/>
        </w:rPr>
        <w:t>Scaffolding:</w:t>
      </w:r>
      <w:r w:rsidRPr="002A5A7B">
        <w:t xml:space="preserve"> We use "Quality First Teaching" to adapt the curriculum so all children </w:t>
      </w:r>
      <w:r>
        <w:t xml:space="preserve">can </w:t>
      </w:r>
      <w:r w:rsidRPr="002A5A7B">
        <w:t>access ambitious learning goals.</w:t>
      </w:r>
    </w:p>
    <w:p w14:paraId="3523F771" w14:textId="7E96443F" w:rsidR="002A5A7B" w:rsidRPr="002A5A7B" w:rsidRDefault="002A5A7B" w:rsidP="009E0647">
      <w:pPr>
        <w:pStyle w:val="ListParagraph"/>
        <w:numPr>
          <w:ilvl w:val="0"/>
          <w:numId w:val="5"/>
        </w:numPr>
      </w:pPr>
      <w:r w:rsidRPr="009E0647">
        <w:rPr>
          <w:b/>
          <w:bCs/>
        </w:rPr>
        <w:t>Total Communication:</w:t>
      </w:r>
      <w:r w:rsidRPr="002A5A7B">
        <w:t xml:space="preserve"> To reduce barriers, we use visual supports (such as </w:t>
      </w:r>
      <w:r w:rsidRPr="009E0647">
        <w:rPr>
          <w:b/>
          <w:bCs/>
        </w:rPr>
        <w:t>Now and Next boards</w:t>
      </w:r>
      <w:r w:rsidRPr="002A5A7B">
        <w:t>) and Makaton signing where appropriate to help children understand routines.</w:t>
      </w:r>
    </w:p>
    <w:p w14:paraId="77200DF3" w14:textId="77777777" w:rsidR="003D75F0" w:rsidRPr="003D75F0" w:rsidRDefault="007513B9" w:rsidP="003D75F0">
      <w:pPr>
        <w:contextualSpacing/>
      </w:pPr>
      <w:r>
        <w:pict w14:anchorId="6C0C2B0A">
          <v:rect id="_x0000_i1030" style="width:0;height:1.5pt" o:hralign="center" o:hrstd="t" o:hr="t" fillcolor="#a0a0a0" stroked="f"/>
        </w:pict>
      </w:r>
    </w:p>
    <w:p w14:paraId="23C40C1B" w14:textId="77777777" w:rsidR="003D75F0" w:rsidRDefault="003D75F0" w:rsidP="003D75F0">
      <w:pPr>
        <w:contextualSpacing/>
        <w:rPr>
          <w:b/>
          <w:bCs/>
        </w:rPr>
      </w:pPr>
      <w:r w:rsidRPr="003D75F0">
        <w:rPr>
          <w:b/>
          <w:bCs/>
        </w:rPr>
        <w:t>5. Partnership with Parents</w:t>
      </w:r>
    </w:p>
    <w:p w14:paraId="40B8C229" w14:textId="77777777" w:rsidR="009E0647" w:rsidRPr="003D75F0" w:rsidRDefault="009E0647" w:rsidP="003D75F0">
      <w:pPr>
        <w:contextualSpacing/>
        <w:rPr>
          <w:b/>
          <w:bCs/>
        </w:rPr>
      </w:pPr>
    </w:p>
    <w:p w14:paraId="0249FDEF" w14:textId="77777777" w:rsidR="00A81A1A" w:rsidRPr="00A81A1A" w:rsidRDefault="00A81A1A" w:rsidP="00A81A1A">
      <w:pPr>
        <w:contextualSpacing/>
      </w:pPr>
      <w:r w:rsidRPr="00A81A1A">
        <w:t>Parents are the primary experts on their children. We involve families at every stage by:</w:t>
      </w:r>
    </w:p>
    <w:p w14:paraId="6B9F6FD8" w14:textId="77777777" w:rsidR="00A81A1A" w:rsidRPr="00A81A1A" w:rsidRDefault="00A81A1A" w:rsidP="00A81A1A">
      <w:pPr>
        <w:numPr>
          <w:ilvl w:val="0"/>
          <w:numId w:val="3"/>
        </w:numPr>
        <w:contextualSpacing/>
      </w:pPr>
      <w:r w:rsidRPr="00A81A1A">
        <w:t>Listening actively to wishes and concerns.</w:t>
      </w:r>
    </w:p>
    <w:p w14:paraId="5402F2BE" w14:textId="37828223" w:rsidR="00276942" w:rsidRPr="00276942" w:rsidRDefault="00A81A1A" w:rsidP="00276942">
      <w:pPr>
        <w:numPr>
          <w:ilvl w:val="0"/>
          <w:numId w:val="3"/>
        </w:numPr>
        <w:contextualSpacing/>
      </w:pPr>
      <w:r w:rsidRPr="00A81A1A">
        <w:t xml:space="preserve">Signposting to the </w:t>
      </w:r>
      <w:r w:rsidRPr="00A81A1A">
        <w:rPr>
          <w:b/>
          <w:bCs/>
        </w:rPr>
        <w:t>West Northamptonshire Local Offer</w:t>
      </w:r>
      <w:r w:rsidRPr="00A81A1A">
        <w:t xml:space="preserve"> and the </w:t>
      </w:r>
      <w:r w:rsidRPr="00A81A1A">
        <w:rPr>
          <w:b/>
          <w:bCs/>
        </w:rPr>
        <w:t>Information, Advice and Support Service (IASS)</w:t>
      </w:r>
      <w:r w:rsidRPr="00A81A1A">
        <w:t>.</w:t>
      </w:r>
    </w:p>
    <w:p w14:paraId="10274DE0" w14:textId="54E85431" w:rsidR="00276942" w:rsidRPr="00276942" w:rsidRDefault="00276942" w:rsidP="00276942">
      <w:pPr>
        <w:contextualSpacing/>
      </w:pPr>
    </w:p>
    <w:p w14:paraId="4EE33E99" w14:textId="0A0264F1" w:rsidR="00276942" w:rsidRPr="00276942" w:rsidRDefault="00276942" w:rsidP="00276942">
      <w:pPr>
        <w:contextualSpacing/>
        <w:rPr>
          <w:b/>
          <w:bCs/>
        </w:rPr>
      </w:pPr>
      <w:r w:rsidRPr="00276942">
        <w:rPr>
          <w:b/>
          <w:bCs/>
        </w:rPr>
        <w:t xml:space="preserve"> </w:t>
      </w:r>
      <w:r w:rsidRPr="00276942">
        <w:rPr>
          <w:rFonts w:ascii="Segoe UI Emoji" w:hAnsi="Segoe UI Emoji" w:cs="Segoe UI Emoji"/>
          <w:b/>
          <w:bCs/>
        </w:rPr>
        <w:t>🔗</w:t>
      </w:r>
      <w:r w:rsidRPr="00276942">
        <w:rPr>
          <w:b/>
          <w:bCs/>
        </w:rPr>
        <w:t xml:space="preserve"> West Northamptonshire Local Offer Integration</w:t>
      </w:r>
    </w:p>
    <w:p w14:paraId="0451B9DD" w14:textId="77777777" w:rsidR="004D16E6" w:rsidRDefault="00276942" w:rsidP="00276942">
      <w:pPr>
        <w:contextualSpacing/>
        <w:rPr>
          <w:b/>
          <w:bCs/>
        </w:rPr>
      </w:pPr>
      <w:r w:rsidRPr="00276942">
        <w:rPr>
          <w:b/>
          <w:bCs/>
        </w:rPr>
        <w:t>5.1 Accessing Support Services</w:t>
      </w:r>
    </w:p>
    <w:p w14:paraId="7EE56492" w14:textId="15B60E5D" w:rsidR="00276942" w:rsidRPr="00276942" w:rsidRDefault="00276942" w:rsidP="00276942">
      <w:pPr>
        <w:contextualSpacing/>
      </w:pPr>
      <w:r w:rsidRPr="00276942">
        <w:t xml:space="preserve"> At </w:t>
      </w:r>
      <w:proofErr w:type="spellStart"/>
      <w:r w:rsidRPr="00276942">
        <w:t>Helmdon</w:t>
      </w:r>
      <w:proofErr w:type="spellEnd"/>
      <w:r w:rsidRPr="00276942">
        <w:t xml:space="preserve"> Acorns, we ensure that every parent has access to the wider network of support available within our county. We work closely with the following statutory services:</w:t>
      </w:r>
    </w:p>
    <w:p w14:paraId="415031F2" w14:textId="77777777" w:rsidR="00276942" w:rsidRPr="00276942" w:rsidRDefault="00276942" w:rsidP="00276942">
      <w:pPr>
        <w:numPr>
          <w:ilvl w:val="0"/>
          <w:numId w:val="8"/>
        </w:numPr>
        <w:contextualSpacing/>
      </w:pPr>
      <w:r w:rsidRPr="00276942">
        <w:rPr>
          <w:b/>
          <w:bCs/>
        </w:rPr>
        <w:t>The West Northants Local Offer:</w:t>
      </w:r>
      <w:r w:rsidRPr="00276942">
        <w:t xml:space="preserve"> This is the central hub for all services, activities, and support for children with SEND (aged 0-25) in our area. It includes information on health, education, and leisure.</w:t>
      </w:r>
    </w:p>
    <w:p w14:paraId="3C98E2F6" w14:textId="42E4F43D" w:rsidR="00276942" w:rsidRPr="00276942" w:rsidRDefault="00276942" w:rsidP="00276942">
      <w:pPr>
        <w:numPr>
          <w:ilvl w:val="1"/>
          <w:numId w:val="8"/>
        </w:numPr>
        <w:contextualSpacing/>
      </w:pPr>
      <w:r w:rsidRPr="00276942">
        <w:rPr>
          <w:b/>
          <w:bCs/>
        </w:rPr>
        <w:t>Website:</w:t>
      </w:r>
      <w:r w:rsidRPr="00276942">
        <w:t xml:space="preserve"> </w:t>
      </w:r>
      <w:hyperlink r:id="rId7" w:history="1">
        <w:r w:rsidR="008E2512" w:rsidRPr="008E2512">
          <w:rPr>
            <w:rStyle w:val="Hyperlink"/>
          </w:rPr>
          <w:t>Local Offer | West Northamptonshire Council</w:t>
        </w:r>
      </w:hyperlink>
    </w:p>
    <w:p w14:paraId="6D9956C7" w14:textId="47807AB0" w:rsidR="00276942" w:rsidRDefault="00276942" w:rsidP="00227909">
      <w:pPr>
        <w:numPr>
          <w:ilvl w:val="1"/>
          <w:numId w:val="8"/>
        </w:numPr>
        <w:contextualSpacing/>
      </w:pPr>
      <w:r w:rsidRPr="00276942">
        <w:rPr>
          <w:b/>
          <w:bCs/>
        </w:rPr>
        <w:t>Contact:</w:t>
      </w:r>
      <w:r w:rsidRPr="00276942">
        <w:t xml:space="preserve"> 0300 126 7000 </w:t>
      </w:r>
    </w:p>
    <w:p w14:paraId="50563181" w14:textId="77777777" w:rsidR="004D16E6" w:rsidRPr="00276942" w:rsidRDefault="004D16E6" w:rsidP="00227909">
      <w:pPr>
        <w:numPr>
          <w:ilvl w:val="1"/>
          <w:numId w:val="8"/>
        </w:numPr>
        <w:contextualSpacing/>
      </w:pPr>
    </w:p>
    <w:p w14:paraId="2EA30449" w14:textId="77777777" w:rsidR="00276942" w:rsidRPr="00276942" w:rsidRDefault="00276942" w:rsidP="00276942">
      <w:pPr>
        <w:numPr>
          <w:ilvl w:val="0"/>
          <w:numId w:val="8"/>
        </w:numPr>
        <w:contextualSpacing/>
      </w:pPr>
      <w:r w:rsidRPr="00276942">
        <w:rPr>
          <w:b/>
          <w:bCs/>
        </w:rPr>
        <w:t>SEND IASS (Information, Advice and Support Service):</w:t>
      </w:r>
      <w:r w:rsidRPr="00276942">
        <w:t xml:space="preserve"> This is a free, confidential, and impartial service that supports parents in understanding their rights and navigating the SEND process (including EHC plans).</w:t>
      </w:r>
    </w:p>
    <w:p w14:paraId="3EE81EE4" w14:textId="23FABA24" w:rsidR="00276942" w:rsidRPr="00276942" w:rsidRDefault="00276942" w:rsidP="00276942">
      <w:pPr>
        <w:numPr>
          <w:ilvl w:val="1"/>
          <w:numId w:val="8"/>
        </w:numPr>
        <w:contextualSpacing/>
      </w:pPr>
      <w:r w:rsidRPr="00276942">
        <w:rPr>
          <w:b/>
          <w:bCs/>
        </w:rPr>
        <w:lastRenderedPageBreak/>
        <w:t>Website:</w:t>
      </w:r>
      <w:r w:rsidRPr="00276942">
        <w:t xml:space="preserve"> </w:t>
      </w:r>
      <w:hyperlink r:id="rId8" w:history="1">
        <w:r w:rsidR="007C4EF8" w:rsidRPr="007C4EF8">
          <w:rPr>
            <w:rStyle w:val="Hyperlink"/>
          </w:rPr>
          <w:t>West Northants SEND IASS |</w:t>
        </w:r>
      </w:hyperlink>
    </w:p>
    <w:p w14:paraId="69F5D769" w14:textId="77777777" w:rsidR="00276942" w:rsidRPr="00276942" w:rsidRDefault="00276942" w:rsidP="00276942">
      <w:pPr>
        <w:numPr>
          <w:ilvl w:val="1"/>
          <w:numId w:val="8"/>
        </w:numPr>
        <w:contextualSpacing/>
      </w:pPr>
      <w:r w:rsidRPr="00276942">
        <w:rPr>
          <w:b/>
          <w:bCs/>
        </w:rPr>
        <w:t>Telephone:</w:t>
      </w:r>
      <w:r w:rsidRPr="00276942">
        <w:t xml:space="preserve"> 0300 126 1039</w:t>
      </w:r>
    </w:p>
    <w:p w14:paraId="6FD12358" w14:textId="44E20F3A" w:rsidR="009E3301" w:rsidRDefault="00276942" w:rsidP="009E3301">
      <w:pPr>
        <w:numPr>
          <w:ilvl w:val="1"/>
          <w:numId w:val="8"/>
        </w:numPr>
        <w:contextualSpacing/>
      </w:pPr>
      <w:r w:rsidRPr="00276942">
        <w:rPr>
          <w:b/>
          <w:bCs/>
        </w:rPr>
        <w:t>Email:</w:t>
      </w:r>
      <w:r w:rsidRPr="00276942">
        <w:t xml:space="preserve"> </w:t>
      </w:r>
      <w:r w:rsidR="000F5CBB" w:rsidRPr="000F5CBB">
        <w:t> </w:t>
      </w:r>
      <w:hyperlink r:id="rId9" w:history="1">
        <w:r w:rsidR="000F5CBB" w:rsidRPr="000F5CBB">
          <w:rPr>
            <w:rStyle w:val="Hyperlink"/>
            <w:b/>
            <w:bCs/>
          </w:rPr>
          <w:t>sendiass@westnorthants.gov.uk</w:t>
        </w:r>
      </w:hyperlink>
    </w:p>
    <w:p w14:paraId="0F994EA5" w14:textId="29166C2B" w:rsidR="00DE5566" w:rsidRPr="00A81A1A" w:rsidRDefault="007513B9" w:rsidP="00DE5566">
      <w:pPr>
        <w:contextualSpacing/>
      </w:pPr>
      <w:r>
        <w:pict w14:anchorId="076AD913">
          <v:rect id="_x0000_i1031" style="width:0;height:1.5pt" o:hralign="center" o:hrstd="t" o:hr="t" fillcolor="#a0a0a0" stroked="f"/>
        </w:pict>
      </w:r>
    </w:p>
    <w:p w14:paraId="016DB5ED" w14:textId="4D744AB4" w:rsidR="009E0647" w:rsidRPr="003D75F0" w:rsidRDefault="002A5A7B" w:rsidP="003D75F0">
      <w:pPr>
        <w:contextualSpacing/>
      </w:pPr>
      <w:r>
        <w:tab/>
      </w:r>
    </w:p>
    <w:p w14:paraId="305FAFA2" w14:textId="5B187CD8" w:rsidR="003D75F0" w:rsidRPr="003D75F0" w:rsidRDefault="003D75F0" w:rsidP="003D75F0">
      <w:pPr>
        <w:contextualSpacing/>
        <w:rPr>
          <w:b/>
          <w:bCs/>
        </w:rPr>
      </w:pPr>
      <w:r w:rsidRPr="003D75F0">
        <w:rPr>
          <w:b/>
          <w:bCs/>
        </w:rPr>
        <w:t>6. External Liaison and Funding</w:t>
      </w:r>
    </w:p>
    <w:p w14:paraId="317B8978" w14:textId="1C79315B" w:rsidR="007D3133" w:rsidRPr="007D3133" w:rsidRDefault="00DE5566" w:rsidP="00DE5566">
      <w:pPr>
        <w:pStyle w:val="ListParagraph"/>
        <w:numPr>
          <w:ilvl w:val="0"/>
          <w:numId w:val="4"/>
        </w:numPr>
      </w:pPr>
      <w:r w:rsidRPr="007D3133">
        <w:t>Data</w:t>
      </w:r>
      <w:r w:rsidR="007D3133" w:rsidRPr="00DE5566">
        <w:rPr>
          <w:b/>
          <w:bCs/>
        </w:rPr>
        <w:t xml:space="preserve"> Security:</w:t>
      </w:r>
      <w:r w:rsidR="007D3133" w:rsidRPr="007D3133">
        <w:t xml:space="preserve"> We use </w:t>
      </w:r>
      <w:r w:rsidR="007D3133" w:rsidRPr="00DE5566">
        <w:rPr>
          <w:b/>
          <w:bCs/>
        </w:rPr>
        <w:t>Egress Switch</w:t>
      </w:r>
      <w:r w:rsidR="007D3133" w:rsidRPr="007D3133">
        <w:t xml:space="preserve"> secure email for all professional correspondence involving sensitive child data.</w:t>
      </w:r>
    </w:p>
    <w:p w14:paraId="6B558201" w14:textId="7F326859" w:rsidR="007D3133" w:rsidRPr="007D3133" w:rsidRDefault="00DE5566" w:rsidP="00DE5566">
      <w:pPr>
        <w:pStyle w:val="ListParagraph"/>
        <w:numPr>
          <w:ilvl w:val="0"/>
          <w:numId w:val="4"/>
        </w:numPr>
      </w:pPr>
      <w:r w:rsidRPr="007D3133">
        <w:t>Funding</w:t>
      </w:r>
      <w:r w:rsidR="007D3133" w:rsidRPr="00DE5566">
        <w:rPr>
          <w:b/>
          <w:bCs/>
        </w:rPr>
        <w:t>:</w:t>
      </w:r>
      <w:r w:rsidR="007D3133" w:rsidRPr="007D3133">
        <w:t xml:space="preserve"> We </w:t>
      </w:r>
      <w:r w:rsidR="007D3133">
        <w:t>utilise</w:t>
      </w:r>
      <w:r w:rsidR="007D3133" w:rsidRPr="007D3133">
        <w:t xml:space="preserve"> the </w:t>
      </w:r>
      <w:r w:rsidR="007D3133" w:rsidRPr="00DE5566">
        <w:rPr>
          <w:b/>
          <w:bCs/>
        </w:rPr>
        <w:t>West Northants SEND Ranges</w:t>
      </w:r>
      <w:r w:rsidR="007D3133" w:rsidRPr="007D3133">
        <w:t xml:space="preserve"> to determine support levels. Where required, we apply for </w:t>
      </w:r>
      <w:r w:rsidR="007D3133" w:rsidRPr="00DE5566">
        <w:rPr>
          <w:b/>
          <w:bCs/>
        </w:rPr>
        <w:t>Targeted SEND Funding (TSF)</w:t>
      </w:r>
      <w:r w:rsidR="007D3133" w:rsidRPr="007D3133">
        <w:t xml:space="preserve"> and the </w:t>
      </w:r>
      <w:r w:rsidR="007D3133" w:rsidRPr="00DE5566">
        <w:rPr>
          <w:b/>
          <w:bCs/>
        </w:rPr>
        <w:t>Disability Access Fund (DAF)</w:t>
      </w:r>
      <w:r w:rsidR="007D3133" w:rsidRPr="007D3133">
        <w:t>.</w:t>
      </w:r>
    </w:p>
    <w:p w14:paraId="4A695028" w14:textId="0E411449" w:rsidR="007D3133" w:rsidRPr="007D3133" w:rsidRDefault="00DE5566" w:rsidP="00DE5566">
      <w:pPr>
        <w:pStyle w:val="ListParagraph"/>
        <w:numPr>
          <w:ilvl w:val="0"/>
          <w:numId w:val="4"/>
        </w:numPr>
      </w:pPr>
      <w:r w:rsidRPr="007D3133">
        <w:t>Assessments</w:t>
      </w:r>
      <w:r w:rsidR="007D3133" w:rsidRPr="00DE5566">
        <w:rPr>
          <w:b/>
          <w:bCs/>
        </w:rPr>
        <w:t>:</w:t>
      </w:r>
      <w:r w:rsidR="007D3133" w:rsidRPr="007D3133">
        <w:t xml:space="preserve"> We lead the process for Early Help Assessments and Education, Health and Care (EHC) plans when a child requires statutory support.</w:t>
      </w:r>
    </w:p>
    <w:p w14:paraId="26986E70" w14:textId="77777777" w:rsidR="003D75F0" w:rsidRPr="003D75F0" w:rsidRDefault="007513B9" w:rsidP="003D75F0">
      <w:pPr>
        <w:contextualSpacing/>
      </w:pPr>
      <w:r>
        <w:pict w14:anchorId="77DAC010">
          <v:rect id="_x0000_i1032" style="width:0;height:1.5pt" o:hralign="center" o:hrstd="t" o:hr="t" fillcolor="#a0a0a0" stroked="f"/>
        </w:pict>
      </w:r>
    </w:p>
    <w:p w14:paraId="40D181F9" w14:textId="77777777" w:rsidR="003D75F0" w:rsidRPr="003D75F0" w:rsidRDefault="003D75F0" w:rsidP="003D75F0">
      <w:pPr>
        <w:contextualSpacing/>
        <w:rPr>
          <w:b/>
          <w:bCs/>
        </w:rPr>
      </w:pPr>
      <w:r w:rsidRPr="003D75F0">
        <w:rPr>
          <w:b/>
          <w:bCs/>
        </w:rPr>
        <w:t>7. Transitions</w:t>
      </w:r>
    </w:p>
    <w:p w14:paraId="40740BA4" w14:textId="77777777" w:rsidR="003D75F0" w:rsidRPr="003D75F0" w:rsidRDefault="003D75F0" w:rsidP="003D75F0">
      <w:pPr>
        <w:contextualSpacing/>
      </w:pPr>
      <w:r w:rsidRPr="003D75F0">
        <w:t>We facilitate Team Around the Child meetings to support smooth transitions into school. All relevant records — including Internal Milestones, Speech and Sound Toolkit results, and West Northants Development Profiles — are transferred securely via Egress to ensure continuity of care.</w:t>
      </w:r>
    </w:p>
    <w:p w14:paraId="3EEF78C8" w14:textId="77777777" w:rsidR="003D75F0" w:rsidRPr="003D75F0" w:rsidRDefault="007513B9" w:rsidP="003D75F0">
      <w:pPr>
        <w:contextualSpacing/>
      </w:pPr>
      <w:r>
        <w:pict w14:anchorId="1E0712E9">
          <v:rect id="_x0000_i1033" style="width:0;height:1.5pt" o:hralign="center" o:hrstd="t" o:hr="t" fillcolor="#a0a0a0" stroked="f"/>
        </w:pict>
      </w:r>
    </w:p>
    <w:p w14:paraId="03F96135" w14:textId="77777777" w:rsidR="003D75F0" w:rsidRPr="003D75F0" w:rsidRDefault="003D75F0" w:rsidP="003D75F0">
      <w:pPr>
        <w:contextualSpacing/>
        <w:rPr>
          <w:b/>
          <w:bCs/>
        </w:rPr>
      </w:pPr>
      <w:r w:rsidRPr="003D75F0">
        <w:rPr>
          <w:b/>
          <w:bCs/>
        </w:rPr>
        <w:t>8. Further Guidance</w:t>
      </w:r>
    </w:p>
    <w:p w14:paraId="1112EBD9" w14:textId="081E8C14" w:rsidR="003D75F0" w:rsidRPr="003D75F0" w:rsidRDefault="008C1C57" w:rsidP="003D75F0">
      <w:pPr>
        <w:numPr>
          <w:ilvl w:val="0"/>
          <w:numId w:val="1"/>
        </w:numPr>
        <w:contextualSpacing/>
      </w:pPr>
      <w:r w:rsidRPr="008C1C57">
        <w:t>EYFS Statutory Framework (September 2025 update</w:t>
      </w:r>
      <w:r>
        <w:t>)</w:t>
      </w:r>
    </w:p>
    <w:p w14:paraId="1DEEA326" w14:textId="77777777" w:rsidR="003D75F0" w:rsidRPr="003D75F0" w:rsidRDefault="003D75F0" w:rsidP="003D75F0">
      <w:pPr>
        <w:numPr>
          <w:ilvl w:val="0"/>
          <w:numId w:val="1"/>
        </w:numPr>
        <w:contextualSpacing/>
      </w:pPr>
      <w:r w:rsidRPr="003D75F0">
        <w:t xml:space="preserve">SEND Code of Practice (DfE &amp; </w:t>
      </w:r>
      <w:proofErr w:type="spellStart"/>
      <w:r w:rsidRPr="003D75F0">
        <w:t>DoH</w:t>
      </w:r>
      <w:proofErr w:type="spellEnd"/>
      <w:r w:rsidRPr="003D75F0">
        <w:t xml:space="preserve"> 2015)</w:t>
      </w:r>
    </w:p>
    <w:p w14:paraId="66F5AEEF" w14:textId="77777777" w:rsidR="003D75F0" w:rsidRPr="003D75F0" w:rsidRDefault="003D75F0" w:rsidP="003D75F0">
      <w:pPr>
        <w:numPr>
          <w:ilvl w:val="0"/>
          <w:numId w:val="1"/>
        </w:numPr>
        <w:contextualSpacing/>
      </w:pPr>
      <w:r w:rsidRPr="003D75F0">
        <w:t>West Northants SEND Guidance &amp; Ranges (2026)</w:t>
      </w:r>
    </w:p>
    <w:p w14:paraId="7A45079F" w14:textId="77777777" w:rsidR="003D75F0" w:rsidRPr="003D75F0" w:rsidRDefault="003D75F0" w:rsidP="003D75F0">
      <w:pPr>
        <w:numPr>
          <w:ilvl w:val="0"/>
          <w:numId w:val="1"/>
        </w:numPr>
        <w:contextualSpacing/>
      </w:pPr>
      <w:r w:rsidRPr="003D75F0">
        <w:t>Equality Act (2010)</w:t>
      </w:r>
    </w:p>
    <w:p w14:paraId="4542682E" w14:textId="77777777" w:rsidR="003D75F0" w:rsidRPr="003D75F0" w:rsidRDefault="007513B9" w:rsidP="003D75F0">
      <w:pPr>
        <w:contextualSpacing/>
      </w:pPr>
      <w:r>
        <w:pict w14:anchorId="106D3A1B">
          <v:rect id="_x0000_i1034" style="width:0;height:1.5pt" o:hralign="center" o:hrstd="t" o:hr="t" fillcolor="#a0a0a0" stroked="f"/>
        </w:pict>
      </w:r>
    </w:p>
    <w:p w14:paraId="1FA38BA6" w14:textId="77777777" w:rsidR="003D75F0" w:rsidRPr="003D75F0" w:rsidRDefault="003D75F0" w:rsidP="003D75F0">
      <w:pPr>
        <w:contextualSpacing/>
        <w:rPr>
          <w:b/>
          <w:bCs/>
        </w:rPr>
      </w:pPr>
      <w:r w:rsidRPr="003D75F0">
        <w:rPr>
          <w:b/>
          <w:bCs/>
        </w:rPr>
        <w:t>9. Approval &amp; Review</w:t>
      </w:r>
    </w:p>
    <w:p w14:paraId="60311819" w14:textId="77777777" w:rsidR="003D75F0" w:rsidRPr="003D75F0" w:rsidRDefault="003D75F0" w:rsidP="003D75F0">
      <w:pPr>
        <w:contextualSpacing/>
      </w:pPr>
      <w:r w:rsidRPr="003D75F0">
        <w:t xml:space="preserve">This policy was approved by </w:t>
      </w:r>
      <w:proofErr w:type="spellStart"/>
      <w:r w:rsidRPr="003D75F0">
        <w:t>Helmdon</w:t>
      </w:r>
      <w:proofErr w:type="spellEnd"/>
      <w:r w:rsidRPr="003D75F0">
        <w:t xml:space="preserve"> Acorns Pre</w:t>
      </w:r>
      <w:r w:rsidRPr="003D75F0">
        <w:noBreakHyphen/>
        <w:t>School and will be reviewed annually or sooner if required.</w:t>
      </w:r>
    </w:p>
    <w:p w14:paraId="56766B25" w14:textId="77777777" w:rsidR="003D75F0" w:rsidRPr="003D75F0" w:rsidRDefault="003D75F0" w:rsidP="003D75F0">
      <w:pPr>
        <w:contextualSpacing/>
      </w:pPr>
      <w:r w:rsidRPr="003D75F0">
        <w:rPr>
          <w:b/>
          <w:bCs/>
        </w:rPr>
        <w:t>Date Approved:</w:t>
      </w:r>
      <w:r w:rsidRPr="003D75F0">
        <w:t xml:space="preserve"> 31 January 2026</w:t>
      </w:r>
      <w:r w:rsidRPr="003D75F0">
        <w:br/>
      </w:r>
      <w:r w:rsidRPr="003D75F0">
        <w:rPr>
          <w:b/>
          <w:bCs/>
        </w:rPr>
        <w:t>Next Review Date:</w:t>
      </w:r>
      <w:r w:rsidRPr="003D75F0">
        <w:t xml:space="preserve"> January 2027</w:t>
      </w:r>
    </w:p>
    <w:p w14:paraId="1E64CBC1" w14:textId="77777777" w:rsidR="00BA737B" w:rsidRDefault="00BA737B">
      <w:pPr>
        <w:contextualSpacing/>
      </w:pPr>
    </w:p>
    <w:sectPr w:rsidR="00BA737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0558" w14:textId="77777777" w:rsidR="007513B9" w:rsidRDefault="007513B9" w:rsidP="000D5087">
      <w:pPr>
        <w:spacing w:after="0" w:line="240" w:lineRule="auto"/>
      </w:pPr>
      <w:r>
        <w:separator/>
      </w:r>
    </w:p>
  </w:endnote>
  <w:endnote w:type="continuationSeparator" w:id="0">
    <w:p w14:paraId="0DDC1670" w14:textId="77777777" w:rsidR="007513B9" w:rsidRDefault="007513B9" w:rsidP="000D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6443" w14:textId="77777777" w:rsidR="007513B9" w:rsidRDefault="007513B9" w:rsidP="000D5087">
      <w:pPr>
        <w:spacing w:after="0" w:line="240" w:lineRule="auto"/>
      </w:pPr>
      <w:r>
        <w:separator/>
      </w:r>
    </w:p>
  </w:footnote>
  <w:footnote w:type="continuationSeparator" w:id="0">
    <w:p w14:paraId="4159B96F" w14:textId="77777777" w:rsidR="007513B9" w:rsidRDefault="007513B9" w:rsidP="000D5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3626" w14:textId="77777777" w:rsidR="000D5087" w:rsidRPr="00D5798A" w:rsidRDefault="000D5087" w:rsidP="000D5087">
    <w:pPr>
      <w:pStyle w:val="Heading1"/>
      <w:rPr>
        <w:rFonts w:ascii="ADLaM Display" w:hAnsi="ADLaM Display" w:cs="ADLaM Display"/>
      </w:rPr>
    </w:pPr>
    <w:r>
      <w:tab/>
    </w:r>
    <w:r w:rsidRPr="00D5798A">
      <w:rPr>
        <w:rFonts w:ascii="ADLaM Display" w:hAnsi="ADLaM Display" w:cs="ADLaM Display"/>
        <w:noProof/>
      </w:rPr>
      <w:drawing>
        <wp:anchor distT="0" distB="0" distL="114300" distR="114300" simplePos="0" relativeHeight="251659264" behindDoc="1" locked="0" layoutInCell="1" allowOverlap="1" wp14:anchorId="485D07E4" wp14:editId="34049C1B">
          <wp:simplePos x="0" y="0"/>
          <wp:positionH relativeFrom="margin">
            <wp:align>left</wp:align>
          </wp:positionH>
          <wp:positionV relativeFrom="page">
            <wp:posOffset>194310</wp:posOffset>
          </wp:positionV>
          <wp:extent cx="977900" cy="847725"/>
          <wp:effectExtent l="95250" t="57150" r="107950" b="123825"/>
          <wp:wrapTight wrapText="bothSides">
            <wp:wrapPolygon edited="0">
              <wp:start x="-1262" y="-1456"/>
              <wp:lineTo x="-2104" y="7281"/>
              <wp:lineTo x="-2104" y="21357"/>
              <wp:lineTo x="-421" y="24270"/>
              <wp:lineTo x="21881" y="24270"/>
              <wp:lineTo x="23143" y="22813"/>
              <wp:lineTo x="23564" y="7281"/>
              <wp:lineTo x="22722" y="-1456"/>
              <wp:lineTo x="-1262" y="-1456"/>
            </wp:wrapPolygon>
          </wp:wrapTight>
          <wp:docPr id="223" name="image1.jpg" descr="C:\Users\Admin\Documents\Marketing\acorns redrawn logo.jpg"/>
          <wp:cNvGraphicFramePr/>
          <a:graphic xmlns:a="http://schemas.openxmlformats.org/drawingml/2006/main">
            <a:graphicData uri="http://schemas.openxmlformats.org/drawingml/2006/picture">
              <pic:pic xmlns:pic="http://schemas.openxmlformats.org/drawingml/2006/picture">
                <pic:nvPicPr>
                  <pic:cNvPr id="0" name="image1.jpg" descr="C:\Users\Admin\Documents\Marketing\acorns redrawn logo.jpg"/>
                  <pic:cNvPicPr preferRelativeResize="0"/>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a:xfrm>
                    <a:off x="0" y="0"/>
                    <a:ext cx="977900" cy="84772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roofErr w:type="spellStart"/>
    <w:r w:rsidRPr="000E7E5E">
      <w:rPr>
        <w:rStyle w:val="Heading2Char"/>
        <w:rFonts w:ascii="Arial" w:hAnsi="Arial" w:cs="Arial"/>
        <w:b/>
        <w:bCs/>
        <w:color w:val="auto"/>
      </w:rPr>
      <w:t>Helmdon</w:t>
    </w:r>
    <w:proofErr w:type="spellEnd"/>
    <w:r w:rsidRPr="000E7E5E">
      <w:rPr>
        <w:rStyle w:val="Heading2Char"/>
        <w:rFonts w:ascii="Arial" w:hAnsi="Arial" w:cs="Arial"/>
        <w:b/>
        <w:bCs/>
        <w:color w:val="auto"/>
      </w:rPr>
      <w:t xml:space="preserve"> Acorns Preschool</w:t>
    </w:r>
  </w:p>
  <w:p w14:paraId="0BF81C29" w14:textId="77777777" w:rsidR="000D5087" w:rsidRPr="005D0F33" w:rsidRDefault="000D5087" w:rsidP="000D5087">
    <w:pPr>
      <w:pStyle w:val="Header"/>
    </w:pPr>
  </w:p>
  <w:p w14:paraId="539E89A3" w14:textId="77777777" w:rsidR="000D5087" w:rsidRDefault="000D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59E"/>
    <w:multiLevelType w:val="multilevel"/>
    <w:tmpl w:val="1E04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96719"/>
    <w:multiLevelType w:val="hybridMultilevel"/>
    <w:tmpl w:val="7598C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64C35"/>
    <w:multiLevelType w:val="hybridMultilevel"/>
    <w:tmpl w:val="A0C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5C51"/>
    <w:multiLevelType w:val="multilevel"/>
    <w:tmpl w:val="9F029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2F7999"/>
    <w:multiLevelType w:val="multilevel"/>
    <w:tmpl w:val="46E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F268A"/>
    <w:multiLevelType w:val="multilevel"/>
    <w:tmpl w:val="4810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95CFB"/>
    <w:multiLevelType w:val="multilevel"/>
    <w:tmpl w:val="A7D6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D7D88"/>
    <w:multiLevelType w:val="hybridMultilevel"/>
    <w:tmpl w:val="7002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553967">
    <w:abstractNumId w:val="0"/>
  </w:num>
  <w:num w:numId="2" w16cid:durableId="1112355702">
    <w:abstractNumId w:val="6"/>
  </w:num>
  <w:num w:numId="3" w16cid:durableId="1040205768">
    <w:abstractNumId w:val="4"/>
  </w:num>
  <w:num w:numId="4" w16cid:durableId="1992978323">
    <w:abstractNumId w:val="2"/>
  </w:num>
  <w:num w:numId="5" w16cid:durableId="370762768">
    <w:abstractNumId w:val="7"/>
  </w:num>
  <w:num w:numId="6" w16cid:durableId="2133474906">
    <w:abstractNumId w:val="1"/>
  </w:num>
  <w:num w:numId="7" w16cid:durableId="571476809">
    <w:abstractNumId w:val="5"/>
  </w:num>
  <w:num w:numId="8" w16cid:durableId="105901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F0"/>
    <w:rsid w:val="000C3BEC"/>
    <w:rsid w:val="000D5087"/>
    <w:rsid w:val="000F5CBB"/>
    <w:rsid w:val="00227909"/>
    <w:rsid w:val="00276942"/>
    <w:rsid w:val="002A5A7B"/>
    <w:rsid w:val="00327C84"/>
    <w:rsid w:val="00384C7A"/>
    <w:rsid w:val="003D75F0"/>
    <w:rsid w:val="003E484C"/>
    <w:rsid w:val="004D16E6"/>
    <w:rsid w:val="006D3F70"/>
    <w:rsid w:val="007513B9"/>
    <w:rsid w:val="00796922"/>
    <w:rsid w:val="007C4EF8"/>
    <w:rsid w:val="007D3133"/>
    <w:rsid w:val="008C1C57"/>
    <w:rsid w:val="008D2D1A"/>
    <w:rsid w:val="008E2512"/>
    <w:rsid w:val="008E48A4"/>
    <w:rsid w:val="009E0647"/>
    <w:rsid w:val="009E3301"/>
    <w:rsid w:val="00A81A1A"/>
    <w:rsid w:val="00A95791"/>
    <w:rsid w:val="00AB0ADD"/>
    <w:rsid w:val="00B23F3B"/>
    <w:rsid w:val="00B332CB"/>
    <w:rsid w:val="00BA737B"/>
    <w:rsid w:val="00BB4B41"/>
    <w:rsid w:val="00D32445"/>
    <w:rsid w:val="00D90C70"/>
    <w:rsid w:val="00D94445"/>
    <w:rsid w:val="00DE5566"/>
    <w:rsid w:val="00E04C7A"/>
    <w:rsid w:val="00E91DB3"/>
    <w:rsid w:val="00E95E7D"/>
    <w:rsid w:val="00F4428B"/>
    <w:rsid w:val="00F715FE"/>
    <w:rsid w:val="00FC0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7FB0"/>
  <w15:chartTrackingRefBased/>
  <w15:docId w15:val="{4D706B99-56EF-43D5-B28E-2436BDC1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7D"/>
  </w:style>
  <w:style w:type="paragraph" w:styleId="Heading1">
    <w:name w:val="heading 1"/>
    <w:basedOn w:val="Normal"/>
    <w:next w:val="Normal"/>
    <w:link w:val="Heading1Char"/>
    <w:uiPriority w:val="1"/>
    <w:qFormat/>
    <w:rsid w:val="00E95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95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95E7D"/>
    <w:pPr>
      <w:autoSpaceDE w:val="0"/>
      <w:autoSpaceDN w:val="0"/>
      <w:adjustRightInd w:val="0"/>
      <w:spacing w:before="6" w:after="0" w:line="240" w:lineRule="auto"/>
      <w:ind w:left="112"/>
    </w:pPr>
    <w:rPr>
      <w:rFonts w:ascii="Calibri" w:eastAsia="Times New Roman" w:hAnsi="Calibri" w:cs="Calibri"/>
      <w:kern w:val="0"/>
      <w:lang w:val="en-US"/>
    </w:rPr>
  </w:style>
  <w:style w:type="character" w:customStyle="1" w:styleId="Heading1Char">
    <w:name w:val="Heading 1 Char"/>
    <w:basedOn w:val="DefaultParagraphFont"/>
    <w:link w:val="Heading1"/>
    <w:uiPriority w:val="1"/>
    <w:rsid w:val="00E95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95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E7D"/>
    <w:rPr>
      <w:rFonts w:eastAsiaTheme="majorEastAsia" w:cstheme="majorBidi"/>
      <w:color w:val="272727" w:themeColor="text1" w:themeTint="D8"/>
    </w:rPr>
  </w:style>
  <w:style w:type="paragraph" w:styleId="Title">
    <w:name w:val="Title"/>
    <w:basedOn w:val="Normal"/>
    <w:next w:val="Normal"/>
    <w:link w:val="TitleChar"/>
    <w:uiPriority w:val="10"/>
    <w:qFormat/>
    <w:rsid w:val="00E95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7D"/>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E95E7D"/>
    <w:pPr>
      <w:autoSpaceDE w:val="0"/>
      <w:autoSpaceDN w:val="0"/>
      <w:adjustRightInd w:val="0"/>
      <w:spacing w:after="0" w:line="240" w:lineRule="auto"/>
    </w:pPr>
    <w:rPr>
      <w:rFonts w:ascii="Calibri" w:eastAsia="Times New Roman" w:hAnsi="Calibri" w:cs="Calibri"/>
      <w:kern w:val="0"/>
      <w:sz w:val="22"/>
      <w:szCs w:val="22"/>
      <w:lang w:val="en-US"/>
    </w:rPr>
  </w:style>
  <w:style w:type="character" w:customStyle="1" w:styleId="BodyTextChar">
    <w:name w:val="Body Text Char"/>
    <w:basedOn w:val="DefaultParagraphFont"/>
    <w:link w:val="BodyText"/>
    <w:uiPriority w:val="1"/>
    <w:rsid w:val="00E95E7D"/>
    <w:rPr>
      <w:rFonts w:ascii="Calibri" w:eastAsia="Times New Roman" w:hAnsi="Calibri" w:cs="Calibri"/>
      <w:kern w:val="0"/>
      <w:sz w:val="22"/>
      <w:szCs w:val="22"/>
      <w:lang w:val="en-US"/>
    </w:rPr>
  </w:style>
  <w:style w:type="paragraph" w:styleId="Subtitle">
    <w:name w:val="Subtitle"/>
    <w:basedOn w:val="Normal"/>
    <w:next w:val="Normal"/>
    <w:link w:val="SubtitleChar"/>
    <w:uiPriority w:val="11"/>
    <w:qFormat/>
    <w:rsid w:val="00E95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E7D"/>
    <w:rPr>
      <w:rFonts w:eastAsiaTheme="majorEastAsia" w:cstheme="majorBidi"/>
      <w:color w:val="595959" w:themeColor="text1" w:themeTint="A6"/>
      <w:spacing w:val="15"/>
      <w:sz w:val="28"/>
      <w:szCs w:val="28"/>
    </w:rPr>
  </w:style>
  <w:style w:type="paragraph" w:styleId="ListParagraph">
    <w:name w:val="List Paragraph"/>
    <w:basedOn w:val="Normal"/>
    <w:uiPriority w:val="1"/>
    <w:qFormat/>
    <w:rsid w:val="00E95E7D"/>
    <w:pPr>
      <w:ind w:left="720"/>
      <w:contextualSpacing/>
    </w:pPr>
  </w:style>
  <w:style w:type="paragraph" w:styleId="Quote">
    <w:name w:val="Quote"/>
    <w:basedOn w:val="Normal"/>
    <w:next w:val="Normal"/>
    <w:link w:val="QuoteChar"/>
    <w:uiPriority w:val="29"/>
    <w:qFormat/>
    <w:rsid w:val="00E95E7D"/>
    <w:pPr>
      <w:spacing w:before="160"/>
      <w:jc w:val="center"/>
    </w:pPr>
    <w:rPr>
      <w:i/>
      <w:iCs/>
      <w:color w:val="404040" w:themeColor="text1" w:themeTint="BF"/>
    </w:rPr>
  </w:style>
  <w:style w:type="character" w:customStyle="1" w:styleId="QuoteChar">
    <w:name w:val="Quote Char"/>
    <w:basedOn w:val="DefaultParagraphFont"/>
    <w:link w:val="Quote"/>
    <w:uiPriority w:val="29"/>
    <w:rsid w:val="00E95E7D"/>
    <w:rPr>
      <w:i/>
      <w:iCs/>
      <w:color w:val="404040" w:themeColor="text1" w:themeTint="BF"/>
    </w:rPr>
  </w:style>
  <w:style w:type="paragraph" w:styleId="IntenseQuote">
    <w:name w:val="Intense Quote"/>
    <w:basedOn w:val="Normal"/>
    <w:next w:val="Normal"/>
    <w:link w:val="IntenseQuoteChar"/>
    <w:uiPriority w:val="30"/>
    <w:qFormat/>
    <w:rsid w:val="00E9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E7D"/>
    <w:rPr>
      <w:i/>
      <w:iCs/>
      <w:color w:val="0F4761" w:themeColor="accent1" w:themeShade="BF"/>
    </w:rPr>
  </w:style>
  <w:style w:type="character" w:styleId="IntenseEmphasis">
    <w:name w:val="Intense Emphasis"/>
    <w:basedOn w:val="DefaultParagraphFont"/>
    <w:uiPriority w:val="21"/>
    <w:qFormat/>
    <w:rsid w:val="00E95E7D"/>
    <w:rPr>
      <w:i/>
      <w:iCs/>
      <w:color w:val="0F4761" w:themeColor="accent1" w:themeShade="BF"/>
    </w:rPr>
  </w:style>
  <w:style w:type="character" w:styleId="IntenseReference">
    <w:name w:val="Intense Reference"/>
    <w:basedOn w:val="DefaultParagraphFont"/>
    <w:uiPriority w:val="32"/>
    <w:qFormat/>
    <w:rsid w:val="00E95E7D"/>
    <w:rPr>
      <w:b/>
      <w:bCs/>
      <w:smallCaps/>
      <w:color w:val="0F4761" w:themeColor="accent1" w:themeShade="BF"/>
      <w:spacing w:val="5"/>
    </w:rPr>
  </w:style>
  <w:style w:type="paragraph" w:styleId="Header">
    <w:name w:val="header"/>
    <w:basedOn w:val="Normal"/>
    <w:link w:val="HeaderChar"/>
    <w:uiPriority w:val="99"/>
    <w:unhideWhenUsed/>
    <w:rsid w:val="000D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087"/>
  </w:style>
  <w:style w:type="paragraph" w:styleId="Footer">
    <w:name w:val="footer"/>
    <w:basedOn w:val="Normal"/>
    <w:link w:val="FooterChar"/>
    <w:uiPriority w:val="99"/>
    <w:unhideWhenUsed/>
    <w:rsid w:val="000D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087"/>
  </w:style>
  <w:style w:type="character" w:styleId="Hyperlink">
    <w:name w:val="Hyperlink"/>
    <w:basedOn w:val="DefaultParagraphFont"/>
    <w:uiPriority w:val="99"/>
    <w:unhideWhenUsed/>
    <w:rsid w:val="008E2512"/>
    <w:rPr>
      <w:color w:val="467886" w:themeColor="hyperlink"/>
      <w:u w:val="single"/>
    </w:rPr>
  </w:style>
  <w:style w:type="character" w:styleId="UnresolvedMention">
    <w:name w:val="Unresolved Mention"/>
    <w:basedOn w:val="DefaultParagraphFont"/>
    <w:uiPriority w:val="99"/>
    <w:semiHidden/>
    <w:unhideWhenUsed/>
    <w:rsid w:val="008E2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snorthants.co.uk/" TargetMode="External"/><Relationship Id="rId3" Type="http://schemas.openxmlformats.org/officeDocument/2006/relationships/settings" Target="settings.xml"/><Relationship Id="rId7" Type="http://schemas.openxmlformats.org/officeDocument/2006/relationships/hyperlink" Target="https://www.westnorthants.gov.uk/local-off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ndiass@westnorthants.gov.uk"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Sadler</dc:creator>
  <cp:keywords/>
  <dc:description/>
  <cp:lastModifiedBy>Kim Sadler</cp:lastModifiedBy>
  <cp:revision>23</cp:revision>
  <dcterms:created xsi:type="dcterms:W3CDTF">2026-01-31T19:13:00Z</dcterms:created>
  <dcterms:modified xsi:type="dcterms:W3CDTF">2026-03-18T20:26:00Z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092bf5fd-b37c-4faa-859c-59c4f581bb5f</vt:lpwstr>
  </property>
</Properties>
</file>