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1687" w14:textId="77777777" w:rsidR="00245141" w:rsidRPr="00245141" w:rsidRDefault="00564590" w:rsidP="00245141">
      <w:r>
        <w:pict w14:anchorId="254BF171">
          <v:rect id="_x0000_i1025" style="width:0;height:1.5pt" o:hralign="center" o:hrstd="t" o:hr="t" fillcolor="#a0a0a0" stroked="f"/>
        </w:pict>
      </w:r>
    </w:p>
    <w:p w14:paraId="795B2E37" w14:textId="77777777" w:rsidR="00192BE3" w:rsidRDefault="00192BE3" w:rsidP="00245141">
      <w:pPr>
        <w:rPr>
          <w:b/>
          <w:bCs/>
        </w:rPr>
      </w:pPr>
      <w:r w:rsidRPr="00CA459E">
        <w:rPr>
          <w:b/>
          <w:bCs/>
        </w:rPr>
        <w:t>B5</w:t>
      </w:r>
      <w:r w:rsidRPr="00CA459E">
        <w:t xml:space="preserve"> – Inclusion &amp; Equality Policy</w:t>
      </w:r>
      <w:r w:rsidRPr="00245141">
        <w:rPr>
          <w:b/>
          <w:bCs/>
        </w:rPr>
        <w:t xml:space="preserve"> </w:t>
      </w:r>
    </w:p>
    <w:p w14:paraId="7D9A494A" w14:textId="01C18D6D" w:rsidR="00245141" w:rsidRPr="00245141" w:rsidRDefault="00245141" w:rsidP="00245141">
      <w:proofErr w:type="spellStart"/>
      <w:r w:rsidRPr="00245141">
        <w:rPr>
          <w:b/>
          <w:bCs/>
        </w:rPr>
        <w:t>Helmdon</w:t>
      </w:r>
      <w:proofErr w:type="spellEnd"/>
      <w:r w:rsidRPr="00245141">
        <w:rPr>
          <w:b/>
          <w:bCs/>
        </w:rPr>
        <w:t xml:space="preserve"> Acorns Pre</w:t>
      </w:r>
      <w:r w:rsidRPr="00245141">
        <w:rPr>
          <w:b/>
          <w:bCs/>
        </w:rPr>
        <w:noBreakHyphen/>
        <w:t>school</w:t>
      </w:r>
      <w:r w:rsidR="00E86B47">
        <w:rPr>
          <w:b/>
          <w:bCs/>
        </w:rPr>
        <w:t xml:space="preserve"> CIO</w:t>
      </w:r>
      <w:r w:rsidRPr="00245141">
        <w:br/>
      </w:r>
      <w:r w:rsidRPr="00245141">
        <w:rPr>
          <w:b/>
          <w:bCs/>
        </w:rPr>
        <w:t>January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1"/>
        <w:gridCol w:w="2987"/>
      </w:tblGrid>
      <w:tr w:rsidR="00245141" w:rsidRPr="00245141" w14:paraId="5BC16694" w14:textId="77777777">
        <w:trPr>
          <w:tblHeader/>
          <w:tblCellSpacing w:w="15" w:type="dxa"/>
        </w:trPr>
        <w:tc>
          <w:tcPr>
            <w:tcW w:w="0" w:type="auto"/>
            <w:vAlign w:val="center"/>
            <w:hideMark/>
          </w:tcPr>
          <w:p w14:paraId="22FA9797" w14:textId="77777777" w:rsidR="00245141" w:rsidRPr="00245141" w:rsidRDefault="00245141" w:rsidP="00245141">
            <w:pPr>
              <w:rPr>
                <w:b/>
                <w:bCs/>
              </w:rPr>
            </w:pPr>
            <w:r w:rsidRPr="00245141">
              <w:rPr>
                <w:b/>
                <w:bCs/>
              </w:rPr>
              <w:t>Policy Title</w:t>
            </w:r>
          </w:p>
        </w:tc>
        <w:tc>
          <w:tcPr>
            <w:tcW w:w="0" w:type="auto"/>
            <w:vAlign w:val="center"/>
            <w:hideMark/>
          </w:tcPr>
          <w:p w14:paraId="02965181" w14:textId="77777777" w:rsidR="00245141" w:rsidRPr="00245141" w:rsidRDefault="00245141" w:rsidP="00245141">
            <w:pPr>
              <w:rPr>
                <w:b/>
                <w:bCs/>
              </w:rPr>
            </w:pPr>
            <w:r w:rsidRPr="00245141">
              <w:rPr>
                <w:b/>
                <w:bCs/>
              </w:rPr>
              <w:t>Inclusion &amp; Equality Policy</w:t>
            </w:r>
          </w:p>
        </w:tc>
      </w:tr>
      <w:tr w:rsidR="00245141" w:rsidRPr="00245141" w14:paraId="090E3EA8" w14:textId="77777777">
        <w:trPr>
          <w:tblCellSpacing w:w="15" w:type="dxa"/>
        </w:trPr>
        <w:tc>
          <w:tcPr>
            <w:tcW w:w="0" w:type="auto"/>
            <w:vAlign w:val="center"/>
            <w:hideMark/>
          </w:tcPr>
          <w:p w14:paraId="258915C2" w14:textId="77777777" w:rsidR="00245141" w:rsidRPr="00245141" w:rsidRDefault="00245141" w:rsidP="00245141">
            <w:r w:rsidRPr="00245141">
              <w:rPr>
                <w:b/>
                <w:bCs/>
              </w:rPr>
              <w:t>Setting</w:t>
            </w:r>
          </w:p>
        </w:tc>
        <w:tc>
          <w:tcPr>
            <w:tcW w:w="0" w:type="auto"/>
            <w:vAlign w:val="center"/>
            <w:hideMark/>
          </w:tcPr>
          <w:p w14:paraId="171483BA" w14:textId="77777777" w:rsidR="00245141" w:rsidRPr="00245141" w:rsidRDefault="00245141" w:rsidP="00245141">
            <w:proofErr w:type="spellStart"/>
            <w:r w:rsidRPr="00245141">
              <w:t>Helmdon</w:t>
            </w:r>
            <w:proofErr w:type="spellEnd"/>
            <w:r w:rsidRPr="00245141">
              <w:t xml:space="preserve"> Acorns Pre</w:t>
            </w:r>
            <w:r w:rsidRPr="00245141">
              <w:noBreakHyphen/>
              <w:t>school</w:t>
            </w:r>
          </w:p>
        </w:tc>
      </w:tr>
      <w:tr w:rsidR="00245141" w:rsidRPr="00245141" w14:paraId="572B9599" w14:textId="77777777">
        <w:trPr>
          <w:tblCellSpacing w:w="15" w:type="dxa"/>
        </w:trPr>
        <w:tc>
          <w:tcPr>
            <w:tcW w:w="0" w:type="auto"/>
            <w:vAlign w:val="center"/>
            <w:hideMark/>
          </w:tcPr>
          <w:p w14:paraId="02865C78" w14:textId="77777777" w:rsidR="00245141" w:rsidRPr="00245141" w:rsidRDefault="00245141" w:rsidP="00245141">
            <w:r w:rsidRPr="00245141">
              <w:rPr>
                <w:b/>
                <w:bCs/>
              </w:rPr>
              <w:t>Effective From</w:t>
            </w:r>
          </w:p>
        </w:tc>
        <w:tc>
          <w:tcPr>
            <w:tcW w:w="0" w:type="auto"/>
            <w:vAlign w:val="center"/>
            <w:hideMark/>
          </w:tcPr>
          <w:p w14:paraId="77962C3A" w14:textId="7D040256" w:rsidR="00245141" w:rsidRPr="00245141" w:rsidRDefault="00E86B47" w:rsidP="00245141">
            <w:r>
              <w:t>September 2024</w:t>
            </w:r>
          </w:p>
        </w:tc>
      </w:tr>
      <w:tr w:rsidR="009C464A" w:rsidRPr="00245141" w14:paraId="741B8483" w14:textId="77777777">
        <w:trPr>
          <w:tblCellSpacing w:w="15" w:type="dxa"/>
        </w:trPr>
        <w:tc>
          <w:tcPr>
            <w:tcW w:w="0" w:type="auto"/>
            <w:vAlign w:val="center"/>
          </w:tcPr>
          <w:p w14:paraId="4061A7C3" w14:textId="0A122B67" w:rsidR="009C464A" w:rsidRPr="00245141" w:rsidRDefault="009C464A" w:rsidP="00245141">
            <w:pPr>
              <w:rPr>
                <w:b/>
                <w:bCs/>
              </w:rPr>
            </w:pPr>
            <w:r>
              <w:rPr>
                <w:b/>
                <w:bCs/>
              </w:rPr>
              <w:t xml:space="preserve">Reviewed </w:t>
            </w:r>
          </w:p>
        </w:tc>
        <w:tc>
          <w:tcPr>
            <w:tcW w:w="0" w:type="auto"/>
            <w:vAlign w:val="center"/>
          </w:tcPr>
          <w:p w14:paraId="7D6DB090" w14:textId="475F8BF6" w:rsidR="009C464A" w:rsidRDefault="009C464A" w:rsidP="00245141">
            <w:r>
              <w:t>January 2026</w:t>
            </w:r>
          </w:p>
        </w:tc>
      </w:tr>
      <w:tr w:rsidR="00245141" w:rsidRPr="00245141" w14:paraId="6E564A53" w14:textId="77777777">
        <w:trPr>
          <w:tblCellSpacing w:w="15" w:type="dxa"/>
        </w:trPr>
        <w:tc>
          <w:tcPr>
            <w:tcW w:w="0" w:type="auto"/>
            <w:vAlign w:val="center"/>
            <w:hideMark/>
          </w:tcPr>
          <w:p w14:paraId="3E16E7F9" w14:textId="77777777" w:rsidR="00245141" w:rsidRPr="00245141" w:rsidRDefault="00245141" w:rsidP="00245141">
            <w:r w:rsidRPr="00245141">
              <w:rPr>
                <w:b/>
                <w:bCs/>
              </w:rPr>
              <w:t>Next Review</w:t>
            </w:r>
          </w:p>
        </w:tc>
        <w:tc>
          <w:tcPr>
            <w:tcW w:w="0" w:type="auto"/>
            <w:vAlign w:val="center"/>
            <w:hideMark/>
          </w:tcPr>
          <w:p w14:paraId="0FCE09AF" w14:textId="77777777" w:rsidR="00245141" w:rsidRPr="00245141" w:rsidRDefault="00245141" w:rsidP="00245141">
            <w:r w:rsidRPr="00245141">
              <w:t>January 2027</w:t>
            </w:r>
          </w:p>
        </w:tc>
      </w:tr>
    </w:tbl>
    <w:p w14:paraId="7F6E447D" w14:textId="77777777" w:rsidR="00245141" w:rsidRPr="00245141" w:rsidRDefault="00564590" w:rsidP="00245141">
      <w:r>
        <w:pict w14:anchorId="6D7A5566">
          <v:rect id="_x0000_i1026" style="width:0;height:1.5pt" o:hralign="center" o:hrstd="t" o:hr="t" fillcolor="#a0a0a0" stroked="f"/>
        </w:pict>
      </w:r>
    </w:p>
    <w:p w14:paraId="444676CE" w14:textId="77777777" w:rsidR="00245141" w:rsidRPr="00245141" w:rsidRDefault="00245141" w:rsidP="00245141">
      <w:pPr>
        <w:rPr>
          <w:b/>
          <w:bCs/>
        </w:rPr>
      </w:pPr>
      <w:r w:rsidRPr="00245141">
        <w:rPr>
          <w:b/>
          <w:bCs/>
        </w:rPr>
        <w:t>1. Statement of Intent</w:t>
      </w:r>
    </w:p>
    <w:p w14:paraId="5E489F5D" w14:textId="77777777" w:rsidR="00245141" w:rsidRPr="00245141" w:rsidRDefault="00245141" w:rsidP="00245141">
      <w:proofErr w:type="spellStart"/>
      <w:r w:rsidRPr="00245141">
        <w:t>Helmdon</w:t>
      </w:r>
      <w:proofErr w:type="spellEnd"/>
      <w:r w:rsidRPr="00245141">
        <w:t xml:space="preserve"> Acorns Pre</w:t>
      </w:r>
      <w:r w:rsidRPr="00245141">
        <w:noBreakHyphen/>
        <w:t>school is committed to providing an inclusive, welcoming environment where every child and family feels valued, respected, and able to participate fully.</w:t>
      </w:r>
      <w:r w:rsidRPr="00245141">
        <w:br/>
        <w:t>We follow the EYFS Statutory Framework, the Equality Act 2010, and the SEND Code of Practice (2015), ensuring equal opportunities for all children regardless of background, ability, or need.</w:t>
      </w:r>
    </w:p>
    <w:p w14:paraId="2316AD85" w14:textId="77777777" w:rsidR="00245141" w:rsidRPr="00245141" w:rsidRDefault="00245141" w:rsidP="00245141">
      <w:r w:rsidRPr="00245141">
        <w:t>We celebrate diversity and actively promote a culture of kindness, fairness, and belonging.</w:t>
      </w:r>
    </w:p>
    <w:p w14:paraId="380B8F06" w14:textId="77777777" w:rsidR="00245141" w:rsidRPr="00245141" w:rsidRDefault="00564590" w:rsidP="00245141">
      <w:r>
        <w:pict w14:anchorId="092B2E58">
          <v:rect id="_x0000_i1027" style="width:0;height:1.5pt" o:hralign="center" o:hrstd="t" o:hr="t" fillcolor="#a0a0a0" stroked="f"/>
        </w:pict>
      </w:r>
    </w:p>
    <w:p w14:paraId="2E7AAC80" w14:textId="77777777" w:rsidR="00245141" w:rsidRPr="00245141" w:rsidRDefault="00245141" w:rsidP="00245141">
      <w:pPr>
        <w:rPr>
          <w:b/>
          <w:bCs/>
        </w:rPr>
      </w:pPr>
      <w:r w:rsidRPr="00245141">
        <w:rPr>
          <w:b/>
          <w:bCs/>
        </w:rPr>
        <w:t>2. Our Commitment to Equality</w:t>
      </w:r>
    </w:p>
    <w:p w14:paraId="333883BE" w14:textId="77777777" w:rsidR="00245141" w:rsidRPr="00245141" w:rsidRDefault="00245141" w:rsidP="00245141">
      <w:r w:rsidRPr="00245141">
        <w:t>We ensure that:</w:t>
      </w:r>
    </w:p>
    <w:p w14:paraId="1A22D051" w14:textId="77777777" w:rsidR="00245141" w:rsidRPr="00245141" w:rsidRDefault="00245141" w:rsidP="00245141">
      <w:pPr>
        <w:numPr>
          <w:ilvl w:val="0"/>
          <w:numId w:val="1"/>
        </w:numPr>
      </w:pPr>
      <w:r w:rsidRPr="00245141">
        <w:t>all children have equal access to learning and play</w:t>
      </w:r>
    </w:p>
    <w:p w14:paraId="449E610F" w14:textId="77777777" w:rsidR="00245141" w:rsidRPr="00245141" w:rsidRDefault="00245141" w:rsidP="00245141">
      <w:pPr>
        <w:numPr>
          <w:ilvl w:val="0"/>
          <w:numId w:val="1"/>
        </w:numPr>
      </w:pPr>
      <w:r w:rsidRPr="00245141">
        <w:t>no child or family is discriminated against</w:t>
      </w:r>
    </w:p>
    <w:p w14:paraId="0AFE47AE" w14:textId="77777777" w:rsidR="00245141" w:rsidRPr="00245141" w:rsidRDefault="00245141" w:rsidP="00245141">
      <w:pPr>
        <w:numPr>
          <w:ilvl w:val="0"/>
          <w:numId w:val="1"/>
        </w:numPr>
      </w:pPr>
      <w:r w:rsidRPr="00245141">
        <w:t>staff challenge discriminatory language or behaviour</w:t>
      </w:r>
    </w:p>
    <w:p w14:paraId="58109FC6" w14:textId="77777777" w:rsidR="00245141" w:rsidRPr="00245141" w:rsidRDefault="00245141" w:rsidP="00245141">
      <w:pPr>
        <w:numPr>
          <w:ilvl w:val="0"/>
          <w:numId w:val="1"/>
        </w:numPr>
      </w:pPr>
      <w:r w:rsidRPr="00245141">
        <w:t>resources reflect a diverse world</w:t>
      </w:r>
    </w:p>
    <w:p w14:paraId="10CE464D" w14:textId="77777777" w:rsidR="00245141" w:rsidRPr="00245141" w:rsidRDefault="00245141" w:rsidP="00245141">
      <w:pPr>
        <w:numPr>
          <w:ilvl w:val="0"/>
          <w:numId w:val="1"/>
        </w:numPr>
      </w:pPr>
      <w:r w:rsidRPr="00245141">
        <w:t>activities are adapted so all children can take part</w:t>
      </w:r>
    </w:p>
    <w:p w14:paraId="546BA381" w14:textId="77777777" w:rsidR="00245141" w:rsidRPr="00245141" w:rsidRDefault="00245141" w:rsidP="00245141">
      <w:pPr>
        <w:numPr>
          <w:ilvl w:val="0"/>
          <w:numId w:val="1"/>
        </w:numPr>
      </w:pPr>
      <w:r w:rsidRPr="00245141">
        <w:t>families are welcomed, respected, and listened to</w:t>
      </w:r>
    </w:p>
    <w:p w14:paraId="2275FEFC" w14:textId="77777777" w:rsidR="00804FED" w:rsidRDefault="00804FED" w:rsidP="00245141">
      <w:pPr>
        <w:rPr>
          <w:b/>
          <w:bCs/>
        </w:rPr>
      </w:pPr>
    </w:p>
    <w:p w14:paraId="28C9CEBF" w14:textId="77777777" w:rsidR="00804FED" w:rsidRDefault="00804FED" w:rsidP="00245141">
      <w:pPr>
        <w:rPr>
          <w:b/>
          <w:bCs/>
        </w:rPr>
      </w:pPr>
    </w:p>
    <w:p w14:paraId="406C7A28" w14:textId="67E4D241" w:rsidR="00245141" w:rsidRPr="00804FED" w:rsidRDefault="00245141" w:rsidP="00245141">
      <w:r w:rsidRPr="00804FED">
        <w:t xml:space="preserve">We comply with the Equality Act 2010 and do not discriminate against any child, family, or staff member </w:t>
      </w:r>
      <w:proofErr w:type="gramStart"/>
      <w:r w:rsidR="00804FED">
        <w:t>on the basis of</w:t>
      </w:r>
      <w:proofErr w:type="gramEnd"/>
      <w:r w:rsidR="00804FED">
        <w:t xml:space="preserve"> </w:t>
      </w:r>
      <w:r w:rsidRPr="00804FED">
        <w:t>protected characteristics</w:t>
      </w:r>
      <w:r w:rsidR="00804FED" w:rsidRPr="00804FED">
        <w:t>,</w:t>
      </w:r>
      <w:r w:rsidRPr="00804FED">
        <w:t xml:space="preserve"> including disability, race, religion or belief, sex, gender reassignment, sexual orientation, age, pregnancy and maternity, or marital status.</w:t>
      </w:r>
    </w:p>
    <w:p w14:paraId="1C9738C2" w14:textId="77777777" w:rsidR="00245141" w:rsidRPr="00245141" w:rsidRDefault="00245141" w:rsidP="00245141">
      <w:r w:rsidRPr="00245141">
        <w:t>We value each child as an individual and support them to reach their full potential.</w:t>
      </w:r>
    </w:p>
    <w:p w14:paraId="7069375A" w14:textId="77777777" w:rsidR="00245141" w:rsidRPr="00245141" w:rsidRDefault="00564590" w:rsidP="00245141">
      <w:r>
        <w:pict w14:anchorId="589DA0A3">
          <v:rect id="_x0000_i1028" style="width:0;height:1.5pt" o:hralign="center" o:hrstd="t" o:hr="t" fillcolor="#a0a0a0" stroked="f"/>
        </w:pict>
      </w:r>
    </w:p>
    <w:p w14:paraId="0F7D5F79" w14:textId="77777777" w:rsidR="00245141" w:rsidRPr="00245141" w:rsidRDefault="00245141" w:rsidP="00245141">
      <w:pPr>
        <w:rPr>
          <w:b/>
          <w:bCs/>
        </w:rPr>
      </w:pPr>
      <w:r w:rsidRPr="00245141">
        <w:rPr>
          <w:b/>
          <w:bCs/>
        </w:rPr>
        <w:t>3. Inclusion in Practice</w:t>
      </w:r>
    </w:p>
    <w:p w14:paraId="57C46E76" w14:textId="77777777" w:rsidR="00245141" w:rsidRPr="00245141" w:rsidRDefault="00245141" w:rsidP="00245141">
      <w:r w:rsidRPr="00245141">
        <w:t>We promote inclusion by:</w:t>
      </w:r>
    </w:p>
    <w:p w14:paraId="25CE85FA" w14:textId="77777777" w:rsidR="00245141" w:rsidRPr="00245141" w:rsidRDefault="00245141" w:rsidP="00245141">
      <w:pPr>
        <w:numPr>
          <w:ilvl w:val="0"/>
          <w:numId w:val="2"/>
        </w:numPr>
      </w:pPr>
      <w:r w:rsidRPr="00245141">
        <w:t>adapting activities, routines, and environments</w:t>
      </w:r>
    </w:p>
    <w:p w14:paraId="7EF68AE1" w14:textId="77777777" w:rsidR="00245141" w:rsidRPr="00245141" w:rsidRDefault="00245141" w:rsidP="00245141">
      <w:pPr>
        <w:numPr>
          <w:ilvl w:val="0"/>
          <w:numId w:val="2"/>
        </w:numPr>
      </w:pPr>
      <w:r w:rsidRPr="00245141">
        <w:t>offering additional support when needed</w:t>
      </w:r>
    </w:p>
    <w:p w14:paraId="533AC961" w14:textId="77777777" w:rsidR="00245141" w:rsidRPr="00245141" w:rsidRDefault="00245141" w:rsidP="00245141">
      <w:pPr>
        <w:numPr>
          <w:ilvl w:val="0"/>
          <w:numId w:val="2"/>
        </w:numPr>
      </w:pPr>
      <w:r w:rsidRPr="00245141">
        <w:t>working closely with parents and carers</w:t>
      </w:r>
    </w:p>
    <w:p w14:paraId="114C80F5" w14:textId="77777777" w:rsidR="00245141" w:rsidRPr="00245141" w:rsidRDefault="00245141" w:rsidP="00245141">
      <w:pPr>
        <w:numPr>
          <w:ilvl w:val="0"/>
          <w:numId w:val="2"/>
        </w:numPr>
      </w:pPr>
      <w:r w:rsidRPr="00245141">
        <w:t>using visual supports, communication tools, and differentiated resources</w:t>
      </w:r>
    </w:p>
    <w:p w14:paraId="3EFBEE00" w14:textId="77777777" w:rsidR="00245141" w:rsidRPr="00245141" w:rsidRDefault="00245141" w:rsidP="00245141">
      <w:pPr>
        <w:numPr>
          <w:ilvl w:val="0"/>
          <w:numId w:val="2"/>
        </w:numPr>
      </w:pPr>
      <w:r w:rsidRPr="00245141">
        <w:t>ensuring children can participate at their own pace</w:t>
      </w:r>
    </w:p>
    <w:p w14:paraId="61E65C46" w14:textId="77777777" w:rsidR="00245141" w:rsidRPr="00245141" w:rsidRDefault="00245141" w:rsidP="00245141">
      <w:pPr>
        <w:numPr>
          <w:ilvl w:val="0"/>
          <w:numId w:val="2"/>
        </w:numPr>
      </w:pPr>
      <w:r w:rsidRPr="00245141">
        <w:t>providing a nurturing, emotionally safe environment</w:t>
      </w:r>
    </w:p>
    <w:p w14:paraId="5D6EE74F" w14:textId="77777777" w:rsidR="00245141" w:rsidRPr="00245141" w:rsidRDefault="00245141" w:rsidP="00245141">
      <w:r w:rsidRPr="00245141">
        <w:t>Children are encouraged to express themselves, make choices, and develop independence.</w:t>
      </w:r>
    </w:p>
    <w:p w14:paraId="02ACA189" w14:textId="77777777" w:rsidR="00245141" w:rsidRPr="00245141" w:rsidRDefault="00564590" w:rsidP="00245141">
      <w:r>
        <w:pict w14:anchorId="32286FAC">
          <v:rect id="_x0000_i1029" style="width:0;height:1.5pt" o:hralign="center" o:hrstd="t" o:hr="t" fillcolor="#a0a0a0" stroked="f"/>
        </w:pict>
      </w:r>
    </w:p>
    <w:p w14:paraId="33BDC476" w14:textId="77777777" w:rsidR="00245141" w:rsidRPr="00245141" w:rsidRDefault="00245141" w:rsidP="00245141">
      <w:pPr>
        <w:rPr>
          <w:b/>
          <w:bCs/>
        </w:rPr>
      </w:pPr>
      <w:r w:rsidRPr="00245141">
        <w:rPr>
          <w:b/>
          <w:bCs/>
        </w:rPr>
        <w:t>4. Special Educational Needs &amp; Disabilities (SEND)</w:t>
      </w:r>
    </w:p>
    <w:p w14:paraId="1226A57C" w14:textId="77777777" w:rsidR="00245141" w:rsidRPr="00245141" w:rsidRDefault="00245141" w:rsidP="00245141">
      <w:r w:rsidRPr="00245141">
        <w:t>We follow the SEND Code of Practice (2015) and our SEND Policy.</w:t>
      </w:r>
    </w:p>
    <w:p w14:paraId="6FA73C84" w14:textId="77777777" w:rsidR="00245141" w:rsidRPr="00245141" w:rsidRDefault="00245141" w:rsidP="00245141">
      <w:r w:rsidRPr="00245141">
        <w:t>This includes:</w:t>
      </w:r>
    </w:p>
    <w:p w14:paraId="7DC9962D" w14:textId="77777777" w:rsidR="00245141" w:rsidRPr="00245141" w:rsidRDefault="00245141" w:rsidP="00245141">
      <w:pPr>
        <w:numPr>
          <w:ilvl w:val="0"/>
          <w:numId w:val="3"/>
        </w:numPr>
      </w:pPr>
      <w:r w:rsidRPr="00245141">
        <w:t>early identification of needs</w:t>
      </w:r>
    </w:p>
    <w:p w14:paraId="399330DD" w14:textId="77777777" w:rsidR="00245141" w:rsidRPr="00245141" w:rsidRDefault="00245141" w:rsidP="00245141">
      <w:pPr>
        <w:numPr>
          <w:ilvl w:val="0"/>
          <w:numId w:val="3"/>
        </w:numPr>
      </w:pPr>
      <w:r w:rsidRPr="00245141">
        <w:t>working in partnership with parents</w:t>
      </w:r>
    </w:p>
    <w:p w14:paraId="5EC65325" w14:textId="77777777" w:rsidR="00245141" w:rsidRPr="00245141" w:rsidRDefault="00245141" w:rsidP="00245141">
      <w:pPr>
        <w:numPr>
          <w:ilvl w:val="0"/>
          <w:numId w:val="3"/>
        </w:numPr>
      </w:pPr>
      <w:r w:rsidRPr="00245141">
        <w:t>using the graduated approach (assess–plan–do–review)</w:t>
      </w:r>
    </w:p>
    <w:p w14:paraId="79708981" w14:textId="77777777" w:rsidR="00245141" w:rsidRPr="00245141" w:rsidRDefault="00245141" w:rsidP="00245141">
      <w:pPr>
        <w:numPr>
          <w:ilvl w:val="0"/>
          <w:numId w:val="3"/>
        </w:numPr>
      </w:pPr>
      <w:r w:rsidRPr="00245141">
        <w:t>liaising with external professionals when appropriate</w:t>
      </w:r>
    </w:p>
    <w:p w14:paraId="6D581C9C" w14:textId="77777777" w:rsidR="00245141" w:rsidRPr="00245141" w:rsidRDefault="00245141" w:rsidP="00245141">
      <w:pPr>
        <w:numPr>
          <w:ilvl w:val="0"/>
          <w:numId w:val="3"/>
        </w:numPr>
      </w:pPr>
      <w:r w:rsidRPr="00245141">
        <w:t>supporting transitions into school</w:t>
      </w:r>
    </w:p>
    <w:p w14:paraId="684E8B86" w14:textId="77777777" w:rsidR="00245141" w:rsidRPr="00804FED" w:rsidRDefault="00245141" w:rsidP="00245141">
      <w:r w:rsidRPr="00804FED">
        <w:t>We make reasonable adjustments to ensure children with disabilities or additional needs can access all areas of the curriculum and environment.</w:t>
      </w:r>
    </w:p>
    <w:p w14:paraId="284B8174" w14:textId="77777777" w:rsidR="00245141" w:rsidRPr="00245141" w:rsidRDefault="00245141" w:rsidP="00245141">
      <w:r w:rsidRPr="00245141">
        <w:lastRenderedPageBreak/>
        <w:t>Our SENDCo oversees inclusive practice and supports staff in meeting children’s needs.</w:t>
      </w:r>
    </w:p>
    <w:p w14:paraId="73B1F696" w14:textId="77777777" w:rsidR="00245141" w:rsidRPr="00245141" w:rsidRDefault="00564590" w:rsidP="00245141">
      <w:r>
        <w:pict w14:anchorId="5450E6E2">
          <v:rect id="_x0000_i1030" style="width:0;height:1.5pt" o:hralign="center" o:hrstd="t" o:hr="t" fillcolor="#a0a0a0" stroked="f"/>
        </w:pict>
      </w:r>
    </w:p>
    <w:p w14:paraId="0D4DC238" w14:textId="77777777" w:rsidR="00245141" w:rsidRPr="00245141" w:rsidRDefault="00245141" w:rsidP="00245141">
      <w:pPr>
        <w:rPr>
          <w:b/>
          <w:bCs/>
        </w:rPr>
      </w:pPr>
      <w:r w:rsidRPr="00245141">
        <w:rPr>
          <w:b/>
          <w:bCs/>
        </w:rPr>
        <w:t>5. Valuing Diversity</w:t>
      </w:r>
    </w:p>
    <w:p w14:paraId="7B209D35" w14:textId="77777777" w:rsidR="00245141" w:rsidRPr="00245141" w:rsidRDefault="00245141" w:rsidP="00245141">
      <w:r w:rsidRPr="00245141">
        <w:t>We celebrate and respect:</w:t>
      </w:r>
    </w:p>
    <w:p w14:paraId="2D3BE34E" w14:textId="77777777" w:rsidR="00245141" w:rsidRPr="00245141" w:rsidRDefault="00245141" w:rsidP="00245141">
      <w:pPr>
        <w:numPr>
          <w:ilvl w:val="0"/>
          <w:numId w:val="4"/>
        </w:numPr>
      </w:pPr>
      <w:r w:rsidRPr="00245141">
        <w:t>family structures</w:t>
      </w:r>
    </w:p>
    <w:p w14:paraId="6D8BF449" w14:textId="77777777" w:rsidR="00245141" w:rsidRPr="00245141" w:rsidRDefault="00245141" w:rsidP="00245141">
      <w:pPr>
        <w:numPr>
          <w:ilvl w:val="0"/>
          <w:numId w:val="4"/>
        </w:numPr>
      </w:pPr>
      <w:r w:rsidRPr="00245141">
        <w:t>cultures and languages</w:t>
      </w:r>
    </w:p>
    <w:p w14:paraId="2D278344" w14:textId="77777777" w:rsidR="00245141" w:rsidRPr="00245141" w:rsidRDefault="00245141" w:rsidP="00245141">
      <w:pPr>
        <w:numPr>
          <w:ilvl w:val="0"/>
          <w:numId w:val="4"/>
        </w:numPr>
      </w:pPr>
      <w:r w:rsidRPr="00245141">
        <w:t>religions and beliefs</w:t>
      </w:r>
    </w:p>
    <w:p w14:paraId="5FE38D29" w14:textId="77777777" w:rsidR="00245141" w:rsidRPr="00245141" w:rsidRDefault="00245141" w:rsidP="00245141">
      <w:pPr>
        <w:numPr>
          <w:ilvl w:val="0"/>
          <w:numId w:val="4"/>
        </w:numPr>
      </w:pPr>
      <w:r w:rsidRPr="00245141">
        <w:t>gender identities</w:t>
      </w:r>
    </w:p>
    <w:p w14:paraId="37AB4658" w14:textId="77777777" w:rsidR="00245141" w:rsidRPr="00245141" w:rsidRDefault="00245141" w:rsidP="00245141">
      <w:pPr>
        <w:numPr>
          <w:ilvl w:val="0"/>
          <w:numId w:val="4"/>
        </w:numPr>
      </w:pPr>
      <w:r w:rsidRPr="00245141">
        <w:t>disabilities and additional needs</w:t>
      </w:r>
    </w:p>
    <w:p w14:paraId="40B67FC0" w14:textId="77777777" w:rsidR="00245141" w:rsidRPr="00245141" w:rsidRDefault="00245141" w:rsidP="00245141">
      <w:pPr>
        <w:numPr>
          <w:ilvl w:val="0"/>
          <w:numId w:val="4"/>
        </w:numPr>
      </w:pPr>
      <w:r w:rsidRPr="00245141">
        <w:t>socio</w:t>
      </w:r>
      <w:r w:rsidRPr="00245141">
        <w:noBreakHyphen/>
        <w:t>economic backgrounds</w:t>
      </w:r>
    </w:p>
    <w:p w14:paraId="344FC42A" w14:textId="77777777" w:rsidR="00245141" w:rsidRPr="00804FED" w:rsidRDefault="00245141" w:rsidP="00245141">
      <w:r w:rsidRPr="00804FED">
        <w:t>Our curriculum and resources are chosen to reflect a wide range of cultures, family structures, abilities, and experiences so all children can see themselves represented.</w:t>
      </w:r>
    </w:p>
    <w:p w14:paraId="732549CF" w14:textId="77777777" w:rsidR="00245141" w:rsidRPr="00245141" w:rsidRDefault="00245141" w:rsidP="00245141">
      <w:r w:rsidRPr="00245141">
        <w:t>Festivals and celebrations are approached sensitively and inclusively.</w:t>
      </w:r>
    </w:p>
    <w:p w14:paraId="788D8022" w14:textId="77777777" w:rsidR="00245141" w:rsidRPr="00245141" w:rsidRDefault="00564590" w:rsidP="00245141">
      <w:r>
        <w:pict w14:anchorId="3EB65E4B">
          <v:rect id="_x0000_i1031" style="width:0;height:1.5pt" o:hralign="center" o:hrstd="t" o:hr="t" fillcolor="#a0a0a0" stroked="f"/>
        </w:pict>
      </w:r>
    </w:p>
    <w:p w14:paraId="677994F5" w14:textId="77777777" w:rsidR="00245141" w:rsidRPr="00245141" w:rsidRDefault="00245141" w:rsidP="00245141">
      <w:pPr>
        <w:rPr>
          <w:b/>
          <w:bCs/>
        </w:rPr>
      </w:pPr>
      <w:r w:rsidRPr="00245141">
        <w:rPr>
          <w:b/>
          <w:bCs/>
        </w:rPr>
        <w:t>6. Anti</w:t>
      </w:r>
      <w:r w:rsidRPr="00245141">
        <w:rPr>
          <w:b/>
          <w:bCs/>
        </w:rPr>
        <w:noBreakHyphen/>
        <w:t>Discriminatory Practice &amp; British Values</w:t>
      </w:r>
    </w:p>
    <w:p w14:paraId="3E54578A" w14:textId="77777777" w:rsidR="00245141" w:rsidRPr="00245141" w:rsidRDefault="00245141" w:rsidP="00245141">
      <w:r w:rsidRPr="00245141">
        <w:t>Staff are expected to:</w:t>
      </w:r>
    </w:p>
    <w:p w14:paraId="44AF2F7C" w14:textId="77777777" w:rsidR="00245141" w:rsidRPr="00245141" w:rsidRDefault="00245141" w:rsidP="00245141">
      <w:pPr>
        <w:numPr>
          <w:ilvl w:val="0"/>
          <w:numId w:val="5"/>
        </w:numPr>
      </w:pPr>
      <w:r w:rsidRPr="00245141">
        <w:t>model inclusive language and behaviour</w:t>
      </w:r>
    </w:p>
    <w:p w14:paraId="0FBD8689" w14:textId="77777777" w:rsidR="00245141" w:rsidRPr="00245141" w:rsidRDefault="00245141" w:rsidP="00245141">
      <w:pPr>
        <w:numPr>
          <w:ilvl w:val="0"/>
          <w:numId w:val="5"/>
        </w:numPr>
      </w:pPr>
      <w:r w:rsidRPr="00245141">
        <w:t>challenge stereotypes</w:t>
      </w:r>
    </w:p>
    <w:p w14:paraId="74DEEB1E" w14:textId="77777777" w:rsidR="00245141" w:rsidRPr="00245141" w:rsidRDefault="00245141" w:rsidP="00245141">
      <w:pPr>
        <w:numPr>
          <w:ilvl w:val="0"/>
          <w:numId w:val="5"/>
        </w:numPr>
      </w:pPr>
      <w:r w:rsidRPr="00245141">
        <w:t>address discriminatory comments or actions immediately</w:t>
      </w:r>
    </w:p>
    <w:p w14:paraId="26EEC454" w14:textId="77777777" w:rsidR="00245141" w:rsidRPr="00245141" w:rsidRDefault="00245141" w:rsidP="00245141">
      <w:pPr>
        <w:numPr>
          <w:ilvl w:val="0"/>
          <w:numId w:val="5"/>
        </w:numPr>
      </w:pPr>
      <w:r w:rsidRPr="00245141">
        <w:t>create a safe space where children feel heard and respected</w:t>
      </w:r>
    </w:p>
    <w:p w14:paraId="30EE89AE" w14:textId="77777777" w:rsidR="00245141" w:rsidRPr="00804FED" w:rsidRDefault="00245141" w:rsidP="00245141">
      <w:r w:rsidRPr="00804FED">
        <w:t>We actively promote the fundamental British Values of democracy, the rule of law, individual liberty, and mutual respect and tolerance. These values are embedded in our everyday practice and help children learn to respect and value differences.</w:t>
      </w:r>
    </w:p>
    <w:p w14:paraId="4A24B6C5" w14:textId="77777777" w:rsidR="00245141" w:rsidRPr="00245141" w:rsidRDefault="00564590" w:rsidP="00245141">
      <w:r>
        <w:pict w14:anchorId="754C3630">
          <v:rect id="_x0000_i1032" style="width:0;height:1.5pt" o:hralign="center" o:hrstd="t" o:hr="t" fillcolor="#a0a0a0" stroked="f"/>
        </w:pict>
      </w:r>
    </w:p>
    <w:p w14:paraId="7D84863E" w14:textId="77777777" w:rsidR="00245141" w:rsidRPr="00245141" w:rsidRDefault="00245141" w:rsidP="00245141">
      <w:pPr>
        <w:rPr>
          <w:b/>
          <w:bCs/>
        </w:rPr>
      </w:pPr>
      <w:r w:rsidRPr="00245141">
        <w:rPr>
          <w:b/>
          <w:bCs/>
        </w:rPr>
        <w:t>7. Working With Parents &amp; Carers</w:t>
      </w:r>
    </w:p>
    <w:p w14:paraId="601F0131" w14:textId="77777777" w:rsidR="00245141" w:rsidRPr="00245141" w:rsidRDefault="00245141" w:rsidP="00245141">
      <w:r w:rsidRPr="00245141">
        <w:t>We build strong partnerships by:</w:t>
      </w:r>
    </w:p>
    <w:p w14:paraId="207D9AA1" w14:textId="77777777" w:rsidR="00245141" w:rsidRPr="00245141" w:rsidRDefault="00245141" w:rsidP="00245141">
      <w:pPr>
        <w:numPr>
          <w:ilvl w:val="0"/>
          <w:numId w:val="6"/>
        </w:numPr>
      </w:pPr>
      <w:r w:rsidRPr="00245141">
        <w:t>listening to families</w:t>
      </w:r>
    </w:p>
    <w:p w14:paraId="0DA1E690" w14:textId="77777777" w:rsidR="00245141" w:rsidRPr="00245141" w:rsidRDefault="00245141" w:rsidP="00245141">
      <w:pPr>
        <w:numPr>
          <w:ilvl w:val="0"/>
          <w:numId w:val="6"/>
        </w:numPr>
      </w:pPr>
      <w:r w:rsidRPr="00245141">
        <w:lastRenderedPageBreak/>
        <w:t>respecting their views and experiences</w:t>
      </w:r>
    </w:p>
    <w:p w14:paraId="1716CE26" w14:textId="77777777" w:rsidR="00245141" w:rsidRPr="00245141" w:rsidRDefault="00245141" w:rsidP="00245141">
      <w:pPr>
        <w:numPr>
          <w:ilvl w:val="0"/>
          <w:numId w:val="6"/>
        </w:numPr>
      </w:pPr>
      <w:r w:rsidRPr="00245141">
        <w:t>sharing information openly</w:t>
      </w:r>
    </w:p>
    <w:p w14:paraId="60EF453F" w14:textId="77777777" w:rsidR="00245141" w:rsidRPr="00245141" w:rsidRDefault="00245141" w:rsidP="00245141">
      <w:pPr>
        <w:numPr>
          <w:ilvl w:val="0"/>
          <w:numId w:val="6"/>
        </w:numPr>
      </w:pPr>
      <w:r w:rsidRPr="00245141">
        <w:t>involving parents in decisions about their child</w:t>
      </w:r>
    </w:p>
    <w:p w14:paraId="564059A0" w14:textId="77777777" w:rsidR="00245141" w:rsidRPr="00245141" w:rsidRDefault="00245141" w:rsidP="00245141">
      <w:pPr>
        <w:numPr>
          <w:ilvl w:val="0"/>
          <w:numId w:val="6"/>
        </w:numPr>
      </w:pPr>
      <w:r w:rsidRPr="00245141">
        <w:t>offering support and signposting when needed</w:t>
      </w:r>
    </w:p>
    <w:p w14:paraId="7DBB43DC" w14:textId="77777777" w:rsidR="00245141" w:rsidRPr="00245141" w:rsidRDefault="00245141" w:rsidP="00245141">
      <w:r w:rsidRPr="00245141">
        <w:t>We recognise parents as their child’s first and most important educators.</w:t>
      </w:r>
    </w:p>
    <w:p w14:paraId="14274EFA" w14:textId="77777777" w:rsidR="00245141" w:rsidRPr="00245141" w:rsidRDefault="00564590" w:rsidP="00245141">
      <w:r>
        <w:pict w14:anchorId="07C7D291">
          <v:rect id="_x0000_i1033" style="width:0;height:1.5pt" o:hralign="center" o:hrstd="t" o:hr="t" fillcolor="#a0a0a0" stroked="f"/>
        </w:pict>
      </w:r>
    </w:p>
    <w:p w14:paraId="430D90A1" w14:textId="77777777" w:rsidR="00245141" w:rsidRPr="00245141" w:rsidRDefault="00245141" w:rsidP="00245141">
      <w:pPr>
        <w:rPr>
          <w:b/>
          <w:bCs/>
        </w:rPr>
      </w:pPr>
      <w:r w:rsidRPr="00245141">
        <w:rPr>
          <w:b/>
          <w:bCs/>
        </w:rPr>
        <w:t>8. Staff Training &amp; Responsibilities</w:t>
      </w:r>
    </w:p>
    <w:p w14:paraId="7A725916" w14:textId="77777777" w:rsidR="00245141" w:rsidRPr="00245141" w:rsidRDefault="00245141" w:rsidP="00245141">
      <w:r w:rsidRPr="00245141">
        <w:t>All staff:</w:t>
      </w:r>
    </w:p>
    <w:p w14:paraId="0FD090B7" w14:textId="77777777" w:rsidR="00245141" w:rsidRPr="00245141" w:rsidRDefault="00245141" w:rsidP="00245141">
      <w:pPr>
        <w:numPr>
          <w:ilvl w:val="0"/>
          <w:numId w:val="7"/>
        </w:numPr>
      </w:pPr>
      <w:r w:rsidRPr="00245141">
        <w:t>receive induction on equality, inclusion, and anti</w:t>
      </w:r>
      <w:r w:rsidRPr="00245141">
        <w:noBreakHyphen/>
        <w:t>discriminatory practice</w:t>
      </w:r>
    </w:p>
    <w:p w14:paraId="4F4C695D" w14:textId="77777777" w:rsidR="00245141" w:rsidRPr="00245141" w:rsidRDefault="00245141" w:rsidP="00245141">
      <w:pPr>
        <w:numPr>
          <w:ilvl w:val="0"/>
          <w:numId w:val="7"/>
        </w:numPr>
      </w:pPr>
      <w:r w:rsidRPr="00245141">
        <w:t>access ongoing training</w:t>
      </w:r>
    </w:p>
    <w:p w14:paraId="4172E70F" w14:textId="77777777" w:rsidR="00245141" w:rsidRPr="00245141" w:rsidRDefault="00245141" w:rsidP="00245141">
      <w:pPr>
        <w:numPr>
          <w:ilvl w:val="0"/>
          <w:numId w:val="7"/>
        </w:numPr>
      </w:pPr>
      <w:r w:rsidRPr="00245141">
        <w:t>reflect on their own practice and biases</w:t>
      </w:r>
    </w:p>
    <w:p w14:paraId="7016EEDB" w14:textId="77777777" w:rsidR="00245141" w:rsidRPr="00245141" w:rsidRDefault="00245141" w:rsidP="00245141">
      <w:pPr>
        <w:numPr>
          <w:ilvl w:val="0"/>
          <w:numId w:val="7"/>
        </w:numPr>
      </w:pPr>
      <w:r w:rsidRPr="00245141">
        <w:t>work together to ensure inclusive provision</w:t>
      </w:r>
    </w:p>
    <w:p w14:paraId="3AD6418B" w14:textId="77777777" w:rsidR="00245141" w:rsidRPr="00245141" w:rsidRDefault="00245141" w:rsidP="00245141">
      <w:r w:rsidRPr="00245141">
        <w:t>The Manager and SENDCo monitor practice and support staff development.</w:t>
      </w:r>
    </w:p>
    <w:p w14:paraId="489D403F" w14:textId="77777777" w:rsidR="00245141" w:rsidRPr="00245141" w:rsidRDefault="00564590" w:rsidP="00245141">
      <w:r>
        <w:pict w14:anchorId="17E5B35C">
          <v:rect id="_x0000_i1034" style="width:0;height:1.5pt" o:hralign="center" o:hrstd="t" o:hr="t" fillcolor="#a0a0a0" stroked="f"/>
        </w:pict>
      </w:r>
    </w:p>
    <w:p w14:paraId="53B6870E" w14:textId="77777777" w:rsidR="00245141" w:rsidRPr="00245141" w:rsidRDefault="00245141" w:rsidP="00245141">
      <w:pPr>
        <w:rPr>
          <w:b/>
          <w:bCs/>
        </w:rPr>
      </w:pPr>
      <w:r w:rsidRPr="00245141">
        <w:rPr>
          <w:b/>
          <w:bCs/>
        </w:rPr>
        <w:t>9. Admissions</w:t>
      </w:r>
    </w:p>
    <w:p w14:paraId="1C67F995" w14:textId="77777777" w:rsidR="00245141" w:rsidRPr="00245141" w:rsidRDefault="00245141" w:rsidP="00245141">
      <w:r w:rsidRPr="00245141">
        <w:t>Our admissions process is fair, transparent, and non</w:t>
      </w:r>
      <w:r w:rsidRPr="00245141">
        <w:noBreakHyphen/>
        <w:t>discriminatory.</w:t>
      </w:r>
      <w:r w:rsidRPr="00245141">
        <w:br/>
        <w:t>We welcome all children and make reasonable adjustments to support their needs.</w:t>
      </w:r>
    </w:p>
    <w:p w14:paraId="5BDE8645" w14:textId="77777777" w:rsidR="00245141" w:rsidRPr="00245141" w:rsidRDefault="00564590" w:rsidP="00245141">
      <w:r>
        <w:pict w14:anchorId="621E8A1D">
          <v:rect id="_x0000_i1035" style="width:0;height:1.5pt" o:hralign="center" o:hrstd="t" o:hr="t" fillcolor="#a0a0a0" stroked="f"/>
        </w:pict>
      </w:r>
    </w:p>
    <w:p w14:paraId="02D1E74D" w14:textId="77777777" w:rsidR="00245141" w:rsidRPr="00245141" w:rsidRDefault="00245141" w:rsidP="00245141">
      <w:pPr>
        <w:rPr>
          <w:b/>
          <w:bCs/>
        </w:rPr>
      </w:pPr>
      <w:r w:rsidRPr="00245141">
        <w:rPr>
          <w:b/>
          <w:bCs/>
        </w:rPr>
        <w:t>10. Links to Other Policies</w:t>
      </w:r>
    </w:p>
    <w:p w14:paraId="49A32D78" w14:textId="77777777" w:rsidR="00245141" w:rsidRPr="00245141" w:rsidRDefault="00245141" w:rsidP="00245141">
      <w:pPr>
        <w:numPr>
          <w:ilvl w:val="0"/>
          <w:numId w:val="8"/>
        </w:numPr>
      </w:pPr>
      <w:r w:rsidRPr="00245141">
        <w:t>Safeguarding &amp; Child Protection Policy</w:t>
      </w:r>
    </w:p>
    <w:p w14:paraId="14142CCA" w14:textId="77777777" w:rsidR="00245141" w:rsidRPr="00245141" w:rsidRDefault="00245141" w:rsidP="00245141">
      <w:pPr>
        <w:numPr>
          <w:ilvl w:val="0"/>
          <w:numId w:val="8"/>
        </w:numPr>
      </w:pPr>
      <w:r w:rsidRPr="00245141">
        <w:t>SEND Policy</w:t>
      </w:r>
    </w:p>
    <w:p w14:paraId="650703D8" w14:textId="77777777" w:rsidR="00245141" w:rsidRPr="00245141" w:rsidRDefault="00245141" w:rsidP="00245141">
      <w:pPr>
        <w:numPr>
          <w:ilvl w:val="0"/>
          <w:numId w:val="8"/>
        </w:numPr>
      </w:pPr>
      <w:r w:rsidRPr="00245141">
        <w:t>Behaviour &amp; Emotional Wellbeing Policy</w:t>
      </w:r>
    </w:p>
    <w:p w14:paraId="592B53BA" w14:textId="77777777" w:rsidR="00245141" w:rsidRPr="00245141" w:rsidRDefault="00245141" w:rsidP="00245141">
      <w:pPr>
        <w:numPr>
          <w:ilvl w:val="0"/>
          <w:numId w:val="8"/>
        </w:numPr>
      </w:pPr>
      <w:r w:rsidRPr="00245141">
        <w:t>Curriculum Policy</w:t>
      </w:r>
    </w:p>
    <w:p w14:paraId="6E37F3BD" w14:textId="77777777" w:rsidR="00245141" w:rsidRPr="00245141" w:rsidRDefault="00245141" w:rsidP="00245141">
      <w:pPr>
        <w:numPr>
          <w:ilvl w:val="0"/>
          <w:numId w:val="8"/>
        </w:numPr>
      </w:pPr>
      <w:r w:rsidRPr="00245141">
        <w:t>British Values Statement</w:t>
      </w:r>
    </w:p>
    <w:p w14:paraId="738E8C73" w14:textId="77777777" w:rsidR="00245141" w:rsidRPr="00245141" w:rsidRDefault="00245141" w:rsidP="00245141">
      <w:pPr>
        <w:numPr>
          <w:ilvl w:val="0"/>
          <w:numId w:val="8"/>
        </w:numPr>
      </w:pPr>
      <w:r w:rsidRPr="00245141">
        <w:t>Key Person Policy</w:t>
      </w:r>
    </w:p>
    <w:p w14:paraId="3EAEFC1B" w14:textId="77777777" w:rsidR="00245141" w:rsidRPr="00804FED" w:rsidRDefault="00245141" w:rsidP="00245141">
      <w:pPr>
        <w:numPr>
          <w:ilvl w:val="0"/>
          <w:numId w:val="8"/>
        </w:numPr>
      </w:pPr>
      <w:r w:rsidRPr="00804FED">
        <w:t>Prevent Duty Guidance (DfE)</w:t>
      </w:r>
    </w:p>
    <w:p w14:paraId="5A0A7A0A" w14:textId="77777777" w:rsidR="00245141" w:rsidRPr="00245141" w:rsidRDefault="00564590" w:rsidP="00245141">
      <w:r>
        <w:pict w14:anchorId="48A5757E">
          <v:rect id="_x0000_i1036" style="width:0;height:1.5pt" o:hralign="center" o:hrstd="t" o:hr="t" fillcolor="#a0a0a0" stroked="f"/>
        </w:pict>
      </w:r>
    </w:p>
    <w:p w14:paraId="201C88D6" w14:textId="77777777" w:rsidR="00804FED" w:rsidRDefault="00804FED" w:rsidP="00245141">
      <w:pPr>
        <w:rPr>
          <w:b/>
          <w:bCs/>
        </w:rPr>
      </w:pPr>
    </w:p>
    <w:p w14:paraId="5EF8B07E" w14:textId="57DEF9A8" w:rsidR="00245141" w:rsidRPr="00245141" w:rsidRDefault="00245141" w:rsidP="00245141">
      <w:pPr>
        <w:rPr>
          <w:b/>
          <w:bCs/>
        </w:rPr>
      </w:pPr>
      <w:r w:rsidRPr="00245141">
        <w:rPr>
          <w:b/>
          <w:bCs/>
        </w:rPr>
        <w:t>11. Review of Policy</w:t>
      </w:r>
    </w:p>
    <w:p w14:paraId="0597A9F8" w14:textId="77777777" w:rsidR="00245141" w:rsidRPr="00245141" w:rsidRDefault="00245141" w:rsidP="00245141">
      <w:r w:rsidRPr="00245141">
        <w:t>Reviewed annually or sooner if guidance changes.</w:t>
      </w:r>
    </w:p>
    <w:p w14:paraId="26603A8E" w14:textId="77777777" w:rsidR="00245141" w:rsidRPr="00245141" w:rsidRDefault="00564590" w:rsidP="00245141">
      <w:r>
        <w:pict w14:anchorId="0E993F63">
          <v:rect id="_x0000_i1037" style="width:0;height:1.5pt" o:hralign="center" o:hrstd="t" o:hr="t" fillcolor="#a0a0a0" stroked="f"/>
        </w:pict>
      </w:r>
    </w:p>
    <w:p w14:paraId="7E68AB01" w14:textId="77777777" w:rsidR="00BA737B" w:rsidRDefault="00BA737B"/>
    <w:sectPr w:rsidR="00BA73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9947" w14:textId="77777777" w:rsidR="00564590" w:rsidRDefault="00564590" w:rsidP="00245141">
      <w:pPr>
        <w:spacing w:after="0" w:line="240" w:lineRule="auto"/>
      </w:pPr>
      <w:r>
        <w:separator/>
      </w:r>
    </w:p>
  </w:endnote>
  <w:endnote w:type="continuationSeparator" w:id="0">
    <w:p w14:paraId="06A720F2" w14:textId="77777777" w:rsidR="00564590" w:rsidRDefault="00564590" w:rsidP="0024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9C7B" w14:textId="77777777" w:rsidR="00564590" w:rsidRDefault="00564590" w:rsidP="00245141">
      <w:pPr>
        <w:spacing w:after="0" w:line="240" w:lineRule="auto"/>
      </w:pPr>
      <w:r>
        <w:separator/>
      </w:r>
    </w:p>
  </w:footnote>
  <w:footnote w:type="continuationSeparator" w:id="0">
    <w:p w14:paraId="280A62FB" w14:textId="77777777" w:rsidR="00564590" w:rsidRDefault="00564590" w:rsidP="00245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8B36" w14:textId="77777777" w:rsidR="00245141" w:rsidRPr="00D5798A" w:rsidRDefault="00245141" w:rsidP="00245141">
    <w:pPr>
      <w:pStyle w:val="Heading1"/>
      <w:rPr>
        <w:rFonts w:ascii="ADLaM Display" w:hAnsi="ADLaM Display" w:cs="ADLaM Display"/>
      </w:rPr>
    </w:pPr>
    <w:r w:rsidRPr="00D5798A">
      <w:rPr>
        <w:rFonts w:ascii="ADLaM Display" w:hAnsi="ADLaM Display" w:cs="ADLaM Display"/>
        <w:noProof/>
      </w:rPr>
      <w:drawing>
        <wp:anchor distT="0" distB="0" distL="114300" distR="114300" simplePos="0" relativeHeight="251659264" behindDoc="1" locked="0" layoutInCell="1" allowOverlap="1" wp14:anchorId="31E9982B" wp14:editId="697F85A1">
          <wp:simplePos x="0" y="0"/>
          <wp:positionH relativeFrom="margin">
            <wp:align>left</wp:align>
          </wp:positionH>
          <wp:positionV relativeFrom="page">
            <wp:posOffset>240030</wp:posOffset>
          </wp:positionV>
          <wp:extent cx="977900" cy="847725"/>
          <wp:effectExtent l="95250" t="57150" r="107950" b="123825"/>
          <wp:wrapTight wrapText="bothSides">
            <wp:wrapPolygon edited="0">
              <wp:start x="-1262" y="-1456"/>
              <wp:lineTo x="-2104" y="7281"/>
              <wp:lineTo x="-2104" y="21357"/>
              <wp:lineTo x="-421" y="24270"/>
              <wp:lineTo x="21881" y="24270"/>
              <wp:lineTo x="23143" y="22813"/>
              <wp:lineTo x="23564" y="7281"/>
              <wp:lineTo x="22722" y="-1456"/>
              <wp:lineTo x="-1262" y="-1456"/>
            </wp:wrapPolygon>
          </wp:wrapTight>
          <wp:docPr id="223" name="image1.jpg" descr="C:\Users\Admin\Documents\Marketing\acorns redrawn logo.jpg"/>
          <wp:cNvGraphicFramePr/>
          <a:graphic xmlns:a="http://schemas.openxmlformats.org/drawingml/2006/main">
            <a:graphicData uri="http://schemas.openxmlformats.org/drawingml/2006/picture">
              <pic:pic xmlns:pic="http://schemas.openxmlformats.org/drawingml/2006/picture">
                <pic:nvPicPr>
                  <pic:cNvPr id="0" name="image1.jpg" descr="C:\Users\Admin\Documents\Marketing\acorns redrawn logo.jpg"/>
                  <pic:cNvPicPr preferRelativeResize="0"/>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a:xfrm>
                    <a:off x="0" y="0"/>
                    <a:ext cx="977900" cy="84772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tab/>
    </w:r>
    <w:proofErr w:type="spellStart"/>
    <w:r w:rsidRPr="000E7E5E">
      <w:rPr>
        <w:rStyle w:val="Heading2Char"/>
        <w:rFonts w:ascii="Arial" w:hAnsi="Arial" w:cs="Arial"/>
        <w:b/>
        <w:bCs/>
        <w:color w:val="auto"/>
      </w:rPr>
      <w:t>Helmdon</w:t>
    </w:r>
    <w:proofErr w:type="spellEnd"/>
    <w:r w:rsidRPr="000E7E5E">
      <w:rPr>
        <w:rStyle w:val="Heading2Char"/>
        <w:rFonts w:ascii="Arial" w:hAnsi="Arial" w:cs="Arial"/>
        <w:b/>
        <w:bCs/>
        <w:color w:val="auto"/>
      </w:rPr>
      <w:t xml:space="preserve"> Acorns Preschool</w:t>
    </w:r>
  </w:p>
  <w:p w14:paraId="16D2A6C3" w14:textId="77777777" w:rsidR="00245141" w:rsidRPr="00245141" w:rsidRDefault="00245141" w:rsidP="00245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DA"/>
    <w:multiLevelType w:val="multilevel"/>
    <w:tmpl w:val="E57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7BDA"/>
    <w:multiLevelType w:val="multilevel"/>
    <w:tmpl w:val="39F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A6FDB"/>
    <w:multiLevelType w:val="multilevel"/>
    <w:tmpl w:val="CDC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31326"/>
    <w:multiLevelType w:val="multilevel"/>
    <w:tmpl w:val="7EA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417B59"/>
    <w:multiLevelType w:val="multilevel"/>
    <w:tmpl w:val="BEA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303BB"/>
    <w:multiLevelType w:val="multilevel"/>
    <w:tmpl w:val="86F8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D24ED"/>
    <w:multiLevelType w:val="multilevel"/>
    <w:tmpl w:val="B334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62877"/>
    <w:multiLevelType w:val="multilevel"/>
    <w:tmpl w:val="471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383696">
    <w:abstractNumId w:val="3"/>
  </w:num>
  <w:num w:numId="2" w16cid:durableId="207684862">
    <w:abstractNumId w:val="0"/>
  </w:num>
  <w:num w:numId="3" w16cid:durableId="1000040390">
    <w:abstractNumId w:val="4"/>
  </w:num>
  <w:num w:numId="4" w16cid:durableId="257980478">
    <w:abstractNumId w:val="7"/>
  </w:num>
  <w:num w:numId="5" w16cid:durableId="664937478">
    <w:abstractNumId w:val="1"/>
  </w:num>
  <w:num w:numId="6" w16cid:durableId="1345323746">
    <w:abstractNumId w:val="2"/>
  </w:num>
  <w:num w:numId="7" w16cid:durableId="997463083">
    <w:abstractNumId w:val="5"/>
  </w:num>
  <w:num w:numId="8" w16cid:durableId="1344085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41"/>
    <w:rsid w:val="000E5769"/>
    <w:rsid w:val="00192BE3"/>
    <w:rsid w:val="00245141"/>
    <w:rsid w:val="00384C7A"/>
    <w:rsid w:val="00564590"/>
    <w:rsid w:val="00796922"/>
    <w:rsid w:val="007F24BE"/>
    <w:rsid w:val="00804FED"/>
    <w:rsid w:val="00882E5B"/>
    <w:rsid w:val="009C464A"/>
    <w:rsid w:val="00A42AA0"/>
    <w:rsid w:val="00A95791"/>
    <w:rsid w:val="00BA737B"/>
    <w:rsid w:val="00E86B47"/>
    <w:rsid w:val="00E91DB3"/>
    <w:rsid w:val="00E9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8EF7"/>
  <w15:chartTrackingRefBased/>
  <w15:docId w15:val="{24B1FEC2-CB94-45C4-9D36-10217051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7D"/>
  </w:style>
  <w:style w:type="paragraph" w:styleId="Heading1">
    <w:name w:val="heading 1"/>
    <w:basedOn w:val="Normal"/>
    <w:next w:val="Normal"/>
    <w:link w:val="Heading1Char"/>
    <w:uiPriority w:val="1"/>
    <w:qFormat/>
    <w:rsid w:val="00E95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E95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95E7D"/>
    <w:pPr>
      <w:autoSpaceDE w:val="0"/>
      <w:autoSpaceDN w:val="0"/>
      <w:adjustRightInd w:val="0"/>
      <w:spacing w:before="6" w:after="0" w:line="240" w:lineRule="auto"/>
      <w:ind w:left="112"/>
    </w:pPr>
    <w:rPr>
      <w:rFonts w:ascii="Calibri" w:eastAsia="Times New Roman" w:hAnsi="Calibri" w:cs="Calibri"/>
      <w:kern w:val="0"/>
      <w:lang w:val="en-US"/>
    </w:rPr>
  </w:style>
  <w:style w:type="character" w:customStyle="1" w:styleId="Heading1Char">
    <w:name w:val="Heading 1 Char"/>
    <w:basedOn w:val="DefaultParagraphFont"/>
    <w:link w:val="Heading1"/>
    <w:uiPriority w:val="1"/>
    <w:rsid w:val="00E95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E95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E7D"/>
    <w:rPr>
      <w:rFonts w:eastAsiaTheme="majorEastAsia" w:cstheme="majorBidi"/>
      <w:color w:val="272727" w:themeColor="text1" w:themeTint="D8"/>
    </w:rPr>
  </w:style>
  <w:style w:type="paragraph" w:styleId="Title">
    <w:name w:val="Title"/>
    <w:basedOn w:val="Normal"/>
    <w:next w:val="Normal"/>
    <w:link w:val="TitleChar"/>
    <w:uiPriority w:val="10"/>
    <w:qFormat/>
    <w:rsid w:val="00E95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E7D"/>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E95E7D"/>
    <w:pPr>
      <w:autoSpaceDE w:val="0"/>
      <w:autoSpaceDN w:val="0"/>
      <w:adjustRightInd w:val="0"/>
      <w:spacing w:after="0" w:line="240" w:lineRule="auto"/>
    </w:pPr>
    <w:rPr>
      <w:rFonts w:ascii="Calibri" w:eastAsia="Times New Roman" w:hAnsi="Calibri" w:cs="Calibri"/>
      <w:kern w:val="0"/>
      <w:sz w:val="22"/>
      <w:szCs w:val="22"/>
      <w:lang w:val="en-US"/>
    </w:rPr>
  </w:style>
  <w:style w:type="character" w:customStyle="1" w:styleId="BodyTextChar">
    <w:name w:val="Body Text Char"/>
    <w:basedOn w:val="DefaultParagraphFont"/>
    <w:link w:val="BodyText"/>
    <w:uiPriority w:val="1"/>
    <w:rsid w:val="00E95E7D"/>
    <w:rPr>
      <w:rFonts w:ascii="Calibri" w:eastAsia="Times New Roman" w:hAnsi="Calibri" w:cs="Calibri"/>
      <w:kern w:val="0"/>
      <w:sz w:val="22"/>
      <w:szCs w:val="22"/>
      <w:lang w:val="en-US"/>
    </w:rPr>
  </w:style>
  <w:style w:type="paragraph" w:styleId="Subtitle">
    <w:name w:val="Subtitle"/>
    <w:basedOn w:val="Normal"/>
    <w:next w:val="Normal"/>
    <w:link w:val="SubtitleChar"/>
    <w:uiPriority w:val="11"/>
    <w:qFormat/>
    <w:rsid w:val="00E95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E7D"/>
    <w:rPr>
      <w:rFonts w:eastAsiaTheme="majorEastAsia" w:cstheme="majorBidi"/>
      <w:color w:val="595959" w:themeColor="text1" w:themeTint="A6"/>
      <w:spacing w:val="15"/>
      <w:sz w:val="28"/>
      <w:szCs w:val="28"/>
    </w:rPr>
  </w:style>
  <w:style w:type="paragraph" w:styleId="ListParagraph">
    <w:name w:val="List Paragraph"/>
    <w:basedOn w:val="Normal"/>
    <w:uiPriority w:val="1"/>
    <w:qFormat/>
    <w:rsid w:val="00E95E7D"/>
    <w:pPr>
      <w:ind w:left="720"/>
      <w:contextualSpacing/>
    </w:pPr>
  </w:style>
  <w:style w:type="paragraph" w:styleId="Quote">
    <w:name w:val="Quote"/>
    <w:basedOn w:val="Normal"/>
    <w:next w:val="Normal"/>
    <w:link w:val="QuoteChar"/>
    <w:uiPriority w:val="29"/>
    <w:qFormat/>
    <w:rsid w:val="00E95E7D"/>
    <w:pPr>
      <w:spacing w:before="160"/>
      <w:jc w:val="center"/>
    </w:pPr>
    <w:rPr>
      <w:i/>
      <w:iCs/>
      <w:color w:val="404040" w:themeColor="text1" w:themeTint="BF"/>
    </w:rPr>
  </w:style>
  <w:style w:type="character" w:customStyle="1" w:styleId="QuoteChar">
    <w:name w:val="Quote Char"/>
    <w:basedOn w:val="DefaultParagraphFont"/>
    <w:link w:val="Quote"/>
    <w:uiPriority w:val="29"/>
    <w:rsid w:val="00E95E7D"/>
    <w:rPr>
      <w:i/>
      <w:iCs/>
      <w:color w:val="404040" w:themeColor="text1" w:themeTint="BF"/>
    </w:rPr>
  </w:style>
  <w:style w:type="paragraph" w:styleId="IntenseQuote">
    <w:name w:val="Intense Quote"/>
    <w:basedOn w:val="Normal"/>
    <w:next w:val="Normal"/>
    <w:link w:val="IntenseQuoteChar"/>
    <w:uiPriority w:val="30"/>
    <w:qFormat/>
    <w:rsid w:val="00E9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E7D"/>
    <w:rPr>
      <w:i/>
      <w:iCs/>
      <w:color w:val="0F4761" w:themeColor="accent1" w:themeShade="BF"/>
    </w:rPr>
  </w:style>
  <w:style w:type="character" w:styleId="IntenseEmphasis">
    <w:name w:val="Intense Emphasis"/>
    <w:basedOn w:val="DefaultParagraphFont"/>
    <w:uiPriority w:val="21"/>
    <w:qFormat/>
    <w:rsid w:val="00E95E7D"/>
    <w:rPr>
      <w:i/>
      <w:iCs/>
      <w:color w:val="0F4761" w:themeColor="accent1" w:themeShade="BF"/>
    </w:rPr>
  </w:style>
  <w:style w:type="character" w:styleId="IntenseReference">
    <w:name w:val="Intense Reference"/>
    <w:basedOn w:val="DefaultParagraphFont"/>
    <w:uiPriority w:val="32"/>
    <w:qFormat/>
    <w:rsid w:val="00E95E7D"/>
    <w:rPr>
      <w:b/>
      <w:bCs/>
      <w:smallCaps/>
      <w:color w:val="0F4761" w:themeColor="accent1" w:themeShade="BF"/>
      <w:spacing w:val="5"/>
    </w:rPr>
  </w:style>
  <w:style w:type="paragraph" w:styleId="Header">
    <w:name w:val="header"/>
    <w:basedOn w:val="Normal"/>
    <w:link w:val="HeaderChar"/>
    <w:uiPriority w:val="99"/>
    <w:unhideWhenUsed/>
    <w:rsid w:val="0024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141"/>
  </w:style>
  <w:style w:type="paragraph" w:styleId="Footer">
    <w:name w:val="footer"/>
    <w:basedOn w:val="Normal"/>
    <w:link w:val="FooterChar"/>
    <w:uiPriority w:val="99"/>
    <w:unhideWhenUsed/>
    <w:rsid w:val="0024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Sadler</dc:creator>
  <cp:keywords/>
  <dc:description/>
  <cp:lastModifiedBy>Kim Sadler</cp:lastModifiedBy>
  <cp:revision>5</cp:revision>
  <dcterms:created xsi:type="dcterms:W3CDTF">2026-02-01T12:36:00Z</dcterms:created>
  <dcterms:modified xsi:type="dcterms:W3CDTF">2026-03-18T19:54:00Z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777773ef-d256-42cd-8165-e1b627310d9a</vt:lpwstr>
  </property>
</Properties>
</file>